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Arial" w:hAnsi="Arial" w:cs="Arial"/>
          <w:b/>
          <w:caps/>
          <w:sz w:val="24"/>
          <w:szCs w:val="24"/>
        </w:rPr>
      </w:pPr>
      <w:r>
        <w:rPr>
          <w:rFonts w:cs="Arial" w:ascii="Arial" w:hAnsi="Arial"/>
          <w:b/>
          <w:caps/>
          <w:sz w:val="24"/>
          <w:szCs w:val="24"/>
        </w:rPr>
        <w:t xml:space="preserve">Prienų rajono savivaldybės administracija  </w:t>
      </w:r>
    </w:p>
    <w:p>
      <w:pPr>
        <w:pStyle w:val="Normal"/>
        <w:spacing w:lineRule="auto" w:line="240" w:before="0" w:after="0"/>
        <w:jc w:val="center"/>
        <w:rPr>
          <w:rFonts w:ascii="Arial" w:hAnsi="Arial" w:cs="Arial"/>
          <w:sz w:val="24"/>
          <w:szCs w:val="24"/>
        </w:rPr>
      </w:pPr>
      <w:r>
        <w:rPr>
          <w:rFonts w:cs="Arial" w:ascii="Arial" w:hAnsi="Arial"/>
          <w:sz w:val="24"/>
          <w:szCs w:val="24"/>
        </w:rPr>
        <w:t>Duomenys kaupiami ir saugomi juridinių asmenų registre, kodas 288742590,</w:t>
      </w:r>
    </w:p>
    <w:p>
      <w:pPr>
        <w:pStyle w:val="Normal"/>
        <w:spacing w:lineRule="auto" w:line="240" w:before="0" w:after="0"/>
        <w:contextualSpacing/>
        <w:jc w:val="center"/>
        <w:rPr>
          <w:rFonts w:ascii="Arial" w:hAnsi="Arial" w:cs="Arial"/>
          <w:sz w:val="24"/>
          <w:szCs w:val="24"/>
        </w:rPr>
      </w:pPr>
      <w:r>
        <w:rPr>
          <w:rFonts w:cs="Arial" w:ascii="Arial" w:hAnsi="Arial"/>
          <w:sz w:val="24"/>
          <w:szCs w:val="24"/>
        </w:rPr>
        <w:t xml:space="preserve">Laisvės a. 12, LT-59126 Prienai, tel. +370 319 61 105, </w:t>
      </w:r>
    </w:p>
    <w:p>
      <w:pPr>
        <w:pStyle w:val="Normal"/>
        <w:spacing w:lineRule="auto" w:line="240" w:before="0" w:after="0"/>
        <w:contextualSpacing/>
        <w:jc w:val="center"/>
        <w:rPr>
          <w:rFonts w:ascii="Arial" w:hAnsi="Arial" w:cs="Arial"/>
          <w:sz w:val="24"/>
          <w:szCs w:val="24"/>
        </w:rPr>
      </w:pPr>
      <w:r>
        <w:rPr>
          <w:rFonts w:cs="Arial" w:ascii="Arial" w:hAnsi="Arial"/>
          <w:sz w:val="24"/>
          <w:szCs w:val="24"/>
        </w:rPr>
        <w:t>el. p. administracija@prienai.lt</w:t>
      </w:r>
    </w:p>
    <w:p>
      <w:pPr>
        <w:pStyle w:val="Normal"/>
        <w:spacing w:lineRule="auto" w:line="240" w:before="0" w:after="0"/>
        <w:contextualSpacing/>
        <w:jc w:val="center"/>
        <w:rPr>
          <w:rFonts w:ascii="Arial" w:hAnsi="Arial" w:cs="Arial"/>
          <w:b/>
          <w:bCs/>
          <w:sz w:val="24"/>
          <w:szCs w:val="24"/>
        </w:rPr>
      </w:pPr>
      <w:r>
        <w:rPr>
          <w:rFonts w:cs="Arial" w:ascii="Arial" w:hAnsi="Arial"/>
          <w:b/>
          <w:bCs/>
          <w:sz w:val="24"/>
          <w:szCs w:val="24"/>
        </w:rPr>
      </w:r>
    </w:p>
    <w:p>
      <w:pPr>
        <w:pStyle w:val="Normal"/>
        <w:spacing w:lineRule="auto" w:line="240" w:before="0" w:after="0"/>
        <w:contextualSpacing/>
        <w:jc w:val="center"/>
        <w:rPr>
          <w:rFonts w:ascii="Arial" w:hAnsi="Arial" w:cs="Arial"/>
          <w:bCs/>
          <w:sz w:val="24"/>
          <w:szCs w:val="24"/>
        </w:rPr>
      </w:pPr>
      <w:r>
        <w:rPr>
          <w:rFonts w:cs="Arial" w:ascii="Arial" w:hAnsi="Arial"/>
          <w:bCs/>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spacing w:lineRule="auto" w:line="240" w:before="0" w:after="0"/>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left="5245"/>
        <w:contextualSpacing/>
        <w:rPr>
          <w:rFonts w:ascii="Arial" w:hAnsi="Arial" w:cs="Arial"/>
          <w:sz w:val="24"/>
          <w:szCs w:val="24"/>
        </w:rPr>
      </w:pPr>
      <w:r>
        <w:rPr>
          <w:rFonts w:cs="Arial" w:ascii="Arial" w:hAnsi="Arial"/>
          <w:sz w:val="24"/>
          <w:szCs w:val="24"/>
        </w:rPr>
        <w:t xml:space="preserve">PATVIRTINTA </w:t>
      </w:r>
    </w:p>
    <w:p>
      <w:pPr>
        <w:pStyle w:val="Normal"/>
        <w:spacing w:lineRule="auto" w:line="240" w:before="0" w:after="0"/>
        <w:ind w:left="5245"/>
        <w:contextualSpacing/>
        <w:rPr>
          <w:rFonts w:ascii="Arial" w:hAnsi="Arial" w:cs="Arial"/>
          <w:sz w:val="24"/>
          <w:szCs w:val="24"/>
        </w:rPr>
      </w:pPr>
      <w:r>
        <w:rPr>
          <w:rFonts w:cs="Arial" w:ascii="Arial" w:hAnsi="Arial"/>
          <w:sz w:val="24"/>
          <w:szCs w:val="24"/>
        </w:rPr>
        <w:t>Prienų rajono savivaldybės viešojo pirkimo komisijos 2026-</w:t>
      </w:r>
      <w:r>
        <w:rPr>
          <w:rFonts w:cs="Arial" w:ascii="Arial" w:hAnsi="Arial"/>
          <w:color w:val="000000"/>
          <w:sz w:val="24"/>
          <w:szCs w:val="24"/>
        </w:rPr>
        <w:t>03-2</w:t>
      </w:r>
      <w:r>
        <w:rPr>
          <w:rFonts w:cs="Arial" w:ascii="Arial" w:hAnsi="Arial"/>
          <w:color w:val="000000"/>
          <w:sz w:val="24"/>
          <w:szCs w:val="24"/>
        </w:rPr>
        <w:t xml:space="preserve">5 </w:t>
      </w:r>
      <w:r>
        <w:rPr>
          <w:rFonts w:cs="Arial" w:ascii="Arial" w:hAnsi="Arial"/>
          <w:sz w:val="24"/>
          <w:szCs w:val="24"/>
        </w:rPr>
        <w:t>protokolu</w:t>
      </w:r>
    </w:p>
    <w:p>
      <w:pPr>
        <w:pStyle w:val="Normal"/>
        <w:spacing w:lineRule="auto" w:line="240" w:before="0" w:after="0"/>
        <w:ind w:left="5245"/>
        <w:contextualSpacing/>
        <w:rPr>
          <w:rFonts w:ascii="Arial" w:hAnsi="Arial" w:cs="Arial"/>
          <w:sz w:val="24"/>
          <w:szCs w:val="24"/>
        </w:rPr>
      </w:pPr>
      <w:r>
        <w:rPr>
          <w:rFonts w:cs="Arial" w:ascii="Arial" w:hAnsi="Arial"/>
          <w:sz w:val="24"/>
          <w:szCs w:val="24"/>
        </w:rPr>
        <w:t xml:space="preserve">PAKEITIMAI PATVIRTINTI: </w:t>
      </w:r>
    </w:p>
    <w:p>
      <w:pPr>
        <w:pStyle w:val="Normal"/>
        <w:spacing w:lineRule="auto" w:line="240" w:before="0" w:after="0"/>
        <w:ind w:left="5245"/>
        <w:contextualSpacing/>
        <w:rPr>
          <w:rFonts w:ascii="Arial" w:hAnsi="Arial" w:cs="Arial"/>
          <w:i/>
          <w:i/>
          <w:sz w:val="24"/>
          <w:szCs w:val="24"/>
        </w:rPr>
      </w:pPr>
      <w:r>
        <w:rPr>
          <w:rFonts w:cs="Arial" w:ascii="Arial" w:hAnsi="Arial"/>
          <w:b/>
          <w:bCs/>
          <w:i/>
          <w:sz w:val="24"/>
          <w:szCs w:val="24"/>
          <w:shd w:fill="FFFFFF" w:val="clear"/>
        </w:rPr>
        <w:t>NETAIKOMA</w:t>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sz w:val="24"/>
          <w:szCs w:val="24"/>
        </w:rPr>
      </w:pPr>
      <w:r>
        <w:rPr>
          <w:rFonts w:cs="Arial" w:ascii="Arial" w:hAnsi="Arial"/>
          <w:b/>
          <w:bCs/>
          <w:sz w:val="24"/>
          <w:szCs w:val="24"/>
          <w:shd w:fill="FFFFFF" w:val="clear"/>
        </w:rPr>
        <w:t>SUPAPRASTINTO VIEŠOJO PIRKIMO „</w:t>
      </w:r>
      <w:r>
        <w:rPr>
          <w:rFonts w:cs="Times New Roman" w:ascii="Arial" w:hAnsi="Arial"/>
          <w:b/>
          <w:bCs/>
          <w:sz w:val="24"/>
          <w:szCs w:val="24"/>
          <w:shd w:fill="FFFFFF" w:val="clear"/>
        </w:rPr>
        <w:t>SOCIALINIŲ KORTELIŲ GAMINIMO IR APTARNAVIMO PASLAUGOS</w:t>
      </w:r>
      <w:bookmarkStart w:id="0" w:name="_Hlk171330851"/>
      <w:r>
        <w:rPr>
          <w:rFonts w:cs="Arial" w:ascii="Arial" w:hAnsi="Arial"/>
          <w:b/>
          <w:bCs/>
          <w:sz w:val="24"/>
          <w:szCs w:val="24"/>
          <w:shd w:fill="FFFFFF" w:val="clear"/>
        </w:rPr>
        <w:t>“</w:t>
      </w:r>
      <w:bookmarkEnd w:id="0"/>
      <w:r>
        <w:rPr>
          <w:rFonts w:cs="Arial" w:ascii="Arial" w:hAnsi="Arial"/>
          <w:b/>
          <w:bCs/>
          <w:sz w:val="24"/>
          <w:szCs w:val="24"/>
          <w:shd w:fill="FFFFFF" w:val="clear"/>
        </w:rPr>
        <w:t xml:space="preserve"> </w:t>
      </w:r>
      <w:r>
        <w:rPr>
          <w:rFonts w:cs="Arial" w:ascii="Arial" w:hAnsi="Arial"/>
          <w:b/>
          <w:bCs/>
          <w:caps/>
          <w:sz w:val="24"/>
          <w:szCs w:val="24"/>
          <w:shd w:fill="FFFFFF" w:val="clear"/>
        </w:rPr>
        <w:t xml:space="preserve">ATVIRO KONKURSO </w:t>
      </w:r>
    </w:p>
    <w:p>
      <w:pPr>
        <w:pStyle w:val="Normal"/>
        <w:spacing w:lineRule="auto" w:line="240" w:before="0" w:after="0"/>
        <w:jc w:val="center"/>
        <w:rPr>
          <w:rFonts w:ascii="Arial" w:hAnsi="Arial"/>
          <w:sz w:val="24"/>
          <w:szCs w:val="24"/>
        </w:rPr>
      </w:pPr>
      <w:r>
        <w:rPr>
          <w:rFonts w:cs="Arial" w:ascii="Arial" w:hAnsi="Arial"/>
          <w:b/>
          <w:bCs/>
          <w:caps/>
          <w:sz w:val="24"/>
          <w:szCs w:val="24"/>
          <w:shd w:fill="FFFFFF" w:val="clear"/>
        </w:rPr>
        <w:t>SPECIALIOSIOS SĄLYGOS</w:t>
      </w:r>
    </w:p>
    <w:p>
      <w:pPr>
        <w:pStyle w:val="Normal"/>
        <w:spacing w:lineRule="auto" w:line="240" w:before="0" w:after="0"/>
        <w:jc w:val="center"/>
        <w:rPr>
          <w:rFonts w:ascii="Arial" w:hAnsi="Arial"/>
          <w:sz w:val="24"/>
          <w:szCs w:val="24"/>
        </w:rPr>
      </w:pPr>
      <w:r>
        <w:rPr>
          <w:rFonts w:cs="Arial" w:ascii="Arial" w:hAnsi="Arial"/>
          <w:b/>
          <w:bCs/>
          <w:sz w:val="24"/>
          <w:szCs w:val="24"/>
          <w:shd w:fill="FFFFFF" w:val="clear"/>
        </w:rPr>
        <w:t>Versija Nr</w:t>
      </w:r>
      <w:r>
        <w:rPr>
          <w:rFonts w:cs="Arial" w:ascii="Arial" w:hAnsi="Arial"/>
          <w:b/>
          <w:bCs/>
          <w:caps/>
          <w:sz w:val="24"/>
          <w:szCs w:val="24"/>
          <w:shd w:fill="FFFFFF" w:val="clear"/>
        </w:rPr>
        <w:t>. 1</w:t>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sdt>
      <w:sdtPr>
        <w:docPartObj>
          <w:docPartGallery w:val="Table of Contents"/>
          <w:docPartUnique w:val="true"/>
        </w:docPartObj>
      </w:sdtPr>
      <w:sdtContent>
        <w:p>
          <w:pPr>
            <w:pStyle w:val="TOCHeading"/>
            <w:spacing w:before="0" w:after="120"/>
            <w:ind w:hanging="432" w:left="432"/>
            <w:contextualSpacing/>
            <w:rPr>
              <w:rFonts w:ascii="Arial" w:hAnsi="Arial" w:cs="Arial"/>
              <w:b/>
              <w:color w:val="auto"/>
              <w:sz w:val="28"/>
              <w:szCs w:val="28"/>
            </w:rPr>
          </w:pPr>
          <w:r>
            <w:rPr>
              <w:rFonts w:cs="Arial" w:ascii="Arial" w:hAnsi="Arial"/>
              <w:b/>
              <w:color w:val="auto"/>
              <w:sz w:val="28"/>
              <w:szCs w:val="28"/>
            </w:rPr>
            <w:t>TURINYS</w:t>
          </w:r>
        </w:p>
        <w:p>
          <w:pPr>
            <w:pStyle w:val="TOC1"/>
            <w:rPr>
              <w:rFonts w:ascii="Arial" w:hAnsi="Arial" w:cs="Arial"/>
              <w:sz w:val="24"/>
              <w:szCs w:val="24"/>
              <w:lang w:eastAsia="en-US"/>
            </w:rPr>
          </w:pPr>
          <w:r>
            <w:fldChar w:fldCharType="begin"/>
          </w:r>
          <w:r>
            <w:rPr>
              <w:webHidden/>
              <w:rStyle w:val="Rodyklssaitas"/>
              <w:sz w:val="24"/>
              <w:szCs w:val="24"/>
              <w:bCs/>
              <w:vanish w:val="false"/>
              <w:rFonts w:cs="Arial" w:ascii="Arial" w:hAnsi="Arial"/>
            </w:rPr>
            <w:instrText xml:space="preserve"> TOC \z \o "1-3" \u \h</w:instrText>
          </w:r>
          <w:r>
            <w:rPr>
              <w:webHidden/>
              <w:rStyle w:val="Rodyklssaitas"/>
              <w:sz w:val="24"/>
              <w:szCs w:val="24"/>
              <w:bCs/>
              <w:vanish w:val="false"/>
              <w:rFonts w:cs="Arial" w:ascii="Arial" w:hAnsi="Arial"/>
            </w:rPr>
            <w:fldChar w:fldCharType="separate"/>
          </w:r>
          <w:hyperlink w:anchor="_Toc187926809">
            <w:r>
              <w:rPr>
                <w:webHidden/>
                <w:rStyle w:val="Rodyklssaitas"/>
                <w:rFonts w:cs="Arial" w:ascii="Arial" w:hAnsi="Arial"/>
                <w:bCs/>
                <w:vanish w:val="false"/>
                <w:sz w:val="24"/>
                <w:szCs w:val="24"/>
              </w:rPr>
              <w:t>1.</w:t>
            </w:r>
            <w:r>
              <w:rPr>
                <w:rStyle w:val="Rodyklssaitas"/>
                <w:rFonts w:cs="Arial" w:ascii="Arial" w:hAnsi="Arial"/>
                <w:sz w:val="24"/>
                <w:szCs w:val="24"/>
                <w:lang w:eastAsia="en-US"/>
              </w:rPr>
              <w:t xml:space="preserve"> </w:t>
            </w:r>
            <w:r>
              <w:rPr>
                <w:rStyle w:val="Rodyklssaitas"/>
                <w:rFonts w:cs="Arial" w:ascii="Arial" w:hAnsi="Arial"/>
                <w:bCs/>
                <w:sz w:val="24"/>
                <w:szCs w:val="24"/>
              </w:rPr>
              <w:t>BENDRA INFORMACIJA</w:t>
            </w:r>
            <w:r>
              <w:rPr>
                <w:webHidden/>
              </w:rPr>
              <w:fldChar w:fldCharType="begin"/>
            </w:r>
            <w:r>
              <w:rPr>
                <w:webHidden/>
              </w:rPr>
              <w:instrText xml:space="preserve">PAGEREF _Toc187926809 \h</w:instrText>
            </w:r>
            <w:r>
              <w:rPr>
                <w:webHidden/>
              </w:rPr>
              <w:fldChar w:fldCharType="separate"/>
            </w:r>
            <w:r>
              <w:rPr>
                <w:rStyle w:val="Rodyklssaitas"/>
                <w:rFonts w:cs="Arial" w:ascii="Arial" w:hAnsi="Arial"/>
                <w:vanish w:val="false"/>
                <w:sz w:val="24"/>
                <w:szCs w:val="24"/>
              </w:rPr>
              <w:tab/>
              <w:t>3</w:t>
            </w:r>
            <w:r>
              <w:rPr>
                <w:webHidden/>
              </w:rPr>
              <w:fldChar w:fldCharType="end"/>
            </w:r>
          </w:hyperlink>
        </w:p>
        <w:p>
          <w:pPr>
            <w:pStyle w:val="TOC1"/>
            <w:rPr>
              <w:rFonts w:ascii="Arial" w:hAnsi="Arial" w:cs="Arial"/>
              <w:sz w:val="24"/>
              <w:szCs w:val="24"/>
              <w:lang w:eastAsia="en-US"/>
            </w:rPr>
          </w:pPr>
          <w:hyperlink w:anchor="_Toc187926810">
            <w:r>
              <w:rPr>
                <w:webHidden/>
                <w:rStyle w:val="Rodyklssaitas"/>
                <w:rFonts w:cs="Arial" w:ascii="Arial" w:hAnsi="Arial"/>
                <w:bCs/>
                <w:vanish w:val="false"/>
                <w:sz w:val="24"/>
                <w:szCs w:val="24"/>
              </w:rPr>
              <w:t>2. PIRKIMO OBJEKTAS</w:t>
            </w:r>
            <w:r>
              <w:rPr>
                <w:webHidden/>
              </w:rPr>
              <w:fldChar w:fldCharType="begin"/>
            </w:r>
            <w:r>
              <w:rPr>
                <w:webHidden/>
              </w:rPr>
              <w:instrText xml:space="preserve">PAGEREF _Toc187926810 \h</w:instrText>
            </w:r>
            <w:r>
              <w:rPr>
                <w:webHidden/>
              </w:rPr>
              <w:fldChar w:fldCharType="separate"/>
            </w:r>
            <w:r>
              <w:rPr>
                <w:rStyle w:val="Rodyklssaitas"/>
                <w:rFonts w:cs="Arial" w:ascii="Arial" w:hAnsi="Arial"/>
                <w:vanish w:val="false"/>
                <w:sz w:val="24"/>
                <w:szCs w:val="24"/>
              </w:rPr>
              <w:tab/>
              <w:t>3</w:t>
            </w:r>
            <w:r>
              <w:rPr>
                <w:webHidden/>
              </w:rPr>
              <w:fldChar w:fldCharType="end"/>
            </w:r>
          </w:hyperlink>
        </w:p>
        <w:p>
          <w:pPr>
            <w:pStyle w:val="TOC1"/>
            <w:rPr>
              <w:rFonts w:ascii="Arial" w:hAnsi="Arial" w:cs="Arial"/>
              <w:sz w:val="24"/>
              <w:szCs w:val="24"/>
              <w:lang w:eastAsia="en-US"/>
            </w:rPr>
          </w:pPr>
          <w:hyperlink w:anchor="_Toc187926811">
            <w:r>
              <w:rPr>
                <w:webHidden/>
                <w:rStyle w:val="Rodyklssaitas"/>
                <w:rFonts w:cs="Arial" w:ascii="Arial" w:hAnsi="Arial"/>
                <w:bCs/>
                <w:vanish w:val="false"/>
                <w:sz w:val="24"/>
                <w:szCs w:val="24"/>
              </w:rPr>
              <w:t>3. SUSITIKIMAI SU TIEKĖJAIS</w:t>
            </w:r>
            <w:r>
              <w:rPr>
                <w:webHidden/>
              </w:rPr>
              <w:fldChar w:fldCharType="begin"/>
            </w:r>
            <w:r>
              <w:rPr>
                <w:webHidden/>
              </w:rPr>
              <w:instrText xml:space="preserve">PAGEREF _Toc187926811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2">
            <w:r>
              <w:rPr>
                <w:webHidden/>
                <w:rStyle w:val="Rodyklssaitas"/>
                <w:rFonts w:cs="Arial" w:ascii="Arial" w:hAnsi="Arial"/>
                <w:bCs/>
                <w:vanish w:val="false"/>
                <w:sz w:val="24"/>
                <w:szCs w:val="24"/>
              </w:rPr>
              <w:t>4. TIEKĖJŲ PAŠALINIMO PAGRINDAI IR KVALIFIKACIJOS REIKALAVIMAI</w:t>
            </w:r>
            <w:r>
              <w:rPr>
                <w:webHidden/>
              </w:rPr>
              <w:fldChar w:fldCharType="begin"/>
            </w:r>
            <w:r>
              <w:rPr>
                <w:webHidden/>
              </w:rPr>
              <w:instrText xml:space="preserve">PAGEREF _Toc187926812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3">
            <w:r>
              <w:rPr>
                <w:webHidden/>
                <w:rStyle w:val="Rodyklssaitas"/>
                <w:rFonts w:cs="Arial" w:ascii="Arial" w:hAnsi="Arial"/>
                <w:bCs/>
                <w:vanish w:val="false"/>
                <w:sz w:val="24"/>
                <w:szCs w:val="24"/>
              </w:rPr>
              <w:t>5. REIKALAVIMAI, SUSIJĘ SU NACIONALINIU SAUGUMU</w:t>
            </w:r>
            <w:r>
              <w:rPr>
                <w:webHidden/>
              </w:rPr>
              <w:fldChar w:fldCharType="begin"/>
            </w:r>
            <w:r>
              <w:rPr>
                <w:webHidden/>
              </w:rPr>
              <w:instrText xml:space="preserve">PAGEREF _Toc187926813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4">
            <w:r>
              <w:rPr>
                <w:webHidden/>
                <w:rStyle w:val="Rodyklssaitas"/>
                <w:rFonts w:cs="Arial" w:ascii="Arial" w:hAnsi="Arial"/>
                <w:bCs/>
                <w:vanish w:val="false"/>
                <w:sz w:val="24"/>
                <w:szCs w:val="24"/>
              </w:rPr>
              <w:t>6. SPECIALIEJI REIKALAVIMAI PASIŪLYMŲ RENGIMUI IR PATEIKIMUI</w:t>
            </w:r>
            <w:r>
              <w:rPr>
                <w:webHidden/>
              </w:rPr>
              <w:fldChar w:fldCharType="begin"/>
            </w:r>
            <w:r>
              <w:rPr>
                <w:webHidden/>
              </w:rPr>
              <w:instrText xml:space="preserve">PAGEREF _Toc187926814 \h</w:instrText>
            </w:r>
            <w:r>
              <w:rPr>
                <w:webHidden/>
              </w:rPr>
              <w:fldChar w:fldCharType="separate"/>
            </w:r>
            <w:r>
              <w:rPr>
                <w:rStyle w:val="Rodyklssaitas"/>
                <w:rFonts w:cs="Arial" w:ascii="Arial" w:hAnsi="Arial"/>
                <w:vanish w:val="false"/>
                <w:sz w:val="24"/>
                <w:szCs w:val="24"/>
              </w:rPr>
              <w:tab/>
              <w:t>5</w:t>
            </w:r>
            <w:r>
              <w:rPr>
                <w:webHidden/>
              </w:rPr>
              <w:fldChar w:fldCharType="end"/>
            </w:r>
          </w:hyperlink>
        </w:p>
        <w:p>
          <w:pPr>
            <w:pStyle w:val="TOC1"/>
            <w:rPr>
              <w:rFonts w:ascii="Arial" w:hAnsi="Arial" w:cs="Arial"/>
              <w:sz w:val="24"/>
              <w:szCs w:val="24"/>
              <w:lang w:eastAsia="en-US"/>
            </w:rPr>
          </w:pPr>
          <w:hyperlink w:anchor="_Toc187926815">
            <w:r>
              <w:rPr>
                <w:webHidden/>
                <w:rStyle w:val="Rodyklssaitas"/>
                <w:rFonts w:cs="Arial" w:ascii="Arial" w:hAnsi="Arial"/>
                <w:bCs/>
                <w:vanish w:val="false"/>
                <w:sz w:val="24"/>
                <w:szCs w:val="24"/>
              </w:rPr>
              <w:t>7. PASIŪLYMO GALIOJIMO UŽTIKRINIMAS</w:t>
            </w:r>
            <w:r>
              <w:rPr>
                <w:webHidden/>
              </w:rPr>
              <w:fldChar w:fldCharType="begin"/>
            </w:r>
            <w:r>
              <w:rPr>
                <w:webHidden/>
              </w:rPr>
              <w:instrText xml:space="preserve">PAGEREF _Toc187926815 \h</w:instrText>
            </w:r>
            <w:r>
              <w:rPr>
                <w:webHidden/>
              </w:rPr>
              <w:fldChar w:fldCharType="separate"/>
            </w:r>
            <w:r>
              <w:rPr>
                <w:rStyle w:val="Rodyklssaitas"/>
                <w:rFonts w:cs="Arial" w:ascii="Arial" w:hAnsi="Arial"/>
                <w:vanish w:val="false"/>
                <w:sz w:val="24"/>
                <w:szCs w:val="24"/>
              </w:rPr>
              <w:tab/>
              <w:t>5</w:t>
            </w:r>
            <w:r>
              <w:rPr>
                <w:webHidden/>
              </w:rPr>
              <w:fldChar w:fldCharType="end"/>
            </w:r>
          </w:hyperlink>
        </w:p>
        <w:p>
          <w:pPr>
            <w:pStyle w:val="TOC1"/>
            <w:rPr>
              <w:rFonts w:ascii="Arial" w:hAnsi="Arial" w:cs="Arial"/>
              <w:sz w:val="24"/>
              <w:szCs w:val="24"/>
              <w:lang w:eastAsia="en-US"/>
            </w:rPr>
          </w:pPr>
          <w:hyperlink w:anchor="_Toc187926816">
            <w:r>
              <w:rPr>
                <w:webHidden/>
                <w:rStyle w:val="Rodyklssaitas"/>
                <w:rFonts w:cs="Arial" w:ascii="Arial" w:hAnsi="Arial"/>
                <w:bCs/>
                <w:vanish w:val="false"/>
                <w:sz w:val="24"/>
                <w:szCs w:val="24"/>
              </w:rPr>
              <w:t>8. ELEKTRONINIS AUKCIONAS</w:t>
            </w:r>
            <w:r>
              <w:rPr>
                <w:webHidden/>
              </w:rPr>
              <w:fldChar w:fldCharType="begin"/>
            </w:r>
            <w:r>
              <w:rPr>
                <w:webHidden/>
              </w:rPr>
              <w:instrText xml:space="preserve">PAGEREF _Toc187926816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7">
            <w:r>
              <w:rPr>
                <w:webHidden/>
                <w:rStyle w:val="Rodyklssaitas"/>
                <w:rFonts w:cs="Arial" w:ascii="Arial" w:hAnsi="Arial"/>
                <w:bCs/>
                <w:vanish w:val="false"/>
                <w:sz w:val="24"/>
                <w:szCs w:val="24"/>
              </w:rPr>
              <w:t>9. PASIŪLYMŲ VERTINIMAS IR PASIŪLYMŲ ATMETIMO PRIEŽASTYS</w:t>
            </w:r>
            <w:r>
              <w:rPr>
                <w:webHidden/>
              </w:rPr>
              <w:fldChar w:fldCharType="begin"/>
            </w:r>
            <w:r>
              <w:rPr>
                <w:webHidden/>
              </w:rPr>
              <w:instrText xml:space="preserve">PAGEREF _Toc187926817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8">
            <w:r>
              <w:rPr>
                <w:webHidden/>
                <w:rStyle w:val="Rodyklssaitas"/>
                <w:rFonts w:cs="Arial" w:ascii="Arial" w:hAnsi="Arial"/>
                <w:bCs/>
                <w:vanish w:val="false"/>
                <w:sz w:val="24"/>
                <w:szCs w:val="24"/>
              </w:rPr>
              <w:t>10. SUTARTIES SUDARYMAS</w:t>
            </w:r>
            <w:r>
              <w:rPr>
                <w:webHidden/>
              </w:rPr>
              <w:fldChar w:fldCharType="begin"/>
            </w:r>
            <w:r>
              <w:rPr>
                <w:webHidden/>
              </w:rPr>
              <w:instrText xml:space="preserve">PAGEREF _Toc187926818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9">
            <w:r>
              <w:rPr>
                <w:webHidden/>
                <w:rStyle w:val="Rodyklssaitas"/>
                <w:rFonts w:cs="Arial" w:ascii="Arial" w:hAnsi="Arial"/>
                <w:bCs/>
                <w:vanish w:val="false"/>
                <w:sz w:val="24"/>
                <w:szCs w:val="24"/>
              </w:rPr>
              <w:t>11. ASMENS DUOMENŲ TVARKYMAS</w:t>
            </w:r>
            <w:r>
              <w:rPr>
                <w:webHidden/>
              </w:rPr>
              <w:fldChar w:fldCharType="begin"/>
            </w:r>
            <w:r>
              <w:rPr>
                <w:webHidden/>
              </w:rPr>
              <w:instrText xml:space="preserve">PAGEREF _Toc187926819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r>
            <w:rPr>
              <w:rFonts w:cs="Arial" w:ascii="Arial" w:hAnsi="Arial"/>
              <w:sz w:val="24"/>
              <w:szCs w:val="24"/>
              <w:lang w:eastAsia="en-US"/>
            </w:rPr>
            <w:t>Pirkimo sąlygų 1 priedas „Terminai“</w:t>
            <w:tab/>
            <w:t>9</w:t>
          </w:r>
          <w:r>
            <w:rPr>
              <w:sz w:val="24"/>
              <w:szCs w:val="24"/>
              <w:rFonts w:cs="Arial" w:ascii="Arial" w:hAnsi="Arial"/>
              <w:lang w:eastAsia="en-US"/>
            </w:rPr>
            <w:fldChar w:fldCharType="end"/>
          </w:r>
        </w:p>
      </w:sdtContent>
    </w:sdt>
    <w:p>
      <w:pPr>
        <w:pStyle w:val="TOC1"/>
        <w:rPr>
          <w:rFonts w:ascii="Arial" w:hAnsi="Arial" w:cs="Arial"/>
          <w:sz w:val="24"/>
          <w:szCs w:val="24"/>
          <w:lang w:eastAsia="en-US"/>
        </w:rPr>
      </w:pPr>
      <w:r>
        <w:rPr>
          <w:rFonts w:cs="Arial" w:ascii="Arial" w:hAnsi="Arial"/>
          <w:sz w:val="24"/>
          <w:szCs w:val="24"/>
          <w:lang w:eastAsia="en-US"/>
        </w:rPr>
        <w:t>Pirkimo sąlygų 2 priedas „Techninė specifikacija“</w:t>
        <w:tab/>
        <w:t>12</w:t>
      </w:r>
    </w:p>
    <w:p>
      <w:pPr>
        <w:pStyle w:val="TOC1"/>
        <w:rPr>
          <w:rFonts w:ascii="Arial" w:hAnsi="Arial" w:cs="Arial"/>
          <w:sz w:val="24"/>
          <w:szCs w:val="24"/>
          <w:lang w:eastAsia="en-US"/>
        </w:rPr>
      </w:pPr>
      <w:r>
        <w:rPr>
          <w:rFonts w:cs="Arial" w:ascii="Arial" w:hAnsi="Arial"/>
          <w:sz w:val="24"/>
          <w:szCs w:val="24"/>
          <w:lang w:eastAsia="en-US"/>
        </w:rPr>
        <w:t>Pirkimo sąlygų 3 priedas „Tiekėjų pašalinimo pagrindai“</w:t>
        <w:tab/>
        <w:t>33</w:t>
      </w:r>
    </w:p>
    <w:p>
      <w:pPr>
        <w:pStyle w:val="TOC1"/>
        <w:rPr>
          <w:rFonts w:ascii="Arial" w:hAnsi="Arial" w:cs="Arial"/>
          <w:sz w:val="24"/>
          <w:szCs w:val="24"/>
          <w:lang w:eastAsia="en-US"/>
        </w:rPr>
      </w:pPr>
      <w:r>
        <w:rPr>
          <w:rFonts w:cs="Arial" w:ascii="Arial" w:hAnsi="Arial"/>
          <w:sz w:val="24"/>
          <w:szCs w:val="24"/>
          <w:lang w:eastAsia="en-US"/>
        </w:rPr>
        <w:t>Pirkimo sąlygų 4 priedas „ Tiekėjų kvalifikacijos reikalavimai ir reikalaujami kokybės bei aplinkos apsaugos vadybos sistemų standartai“</w:t>
        <w:tab/>
        <w:t>47</w:t>
      </w:r>
    </w:p>
    <w:p>
      <w:pPr>
        <w:pStyle w:val="TOC1"/>
        <w:rPr>
          <w:rFonts w:ascii="Arial" w:hAnsi="Arial" w:cs="Arial"/>
          <w:sz w:val="24"/>
          <w:szCs w:val="24"/>
          <w:lang w:eastAsia="en-US"/>
        </w:rPr>
      </w:pPr>
      <w:r>
        <w:rPr>
          <w:rFonts w:cs="Arial" w:ascii="Arial" w:hAnsi="Arial"/>
          <w:sz w:val="24"/>
          <w:szCs w:val="24"/>
          <w:lang w:eastAsia="en-US"/>
        </w:rPr>
        <w:t>Pirkimo sąlygų 5 priedas „Europos bendrasis viešųjų pirkimų dokumentas“</w:t>
        <w:tab/>
        <w:t>52</w:t>
      </w:r>
    </w:p>
    <w:p>
      <w:pPr>
        <w:pStyle w:val="TOC1"/>
        <w:rPr>
          <w:rFonts w:ascii="Arial" w:hAnsi="Arial" w:cs="Arial"/>
          <w:sz w:val="24"/>
          <w:szCs w:val="24"/>
          <w:lang w:eastAsia="en-US"/>
        </w:rPr>
      </w:pPr>
      <w:r>
        <w:rPr>
          <w:rFonts w:cs="Arial" w:ascii="Arial" w:hAnsi="Arial"/>
          <w:sz w:val="24"/>
          <w:szCs w:val="24"/>
          <w:lang w:eastAsia="en-US"/>
        </w:rPr>
        <w:t>Pirkimo sąlygų 6 priedas „Pasiūlymo forma“</w:t>
        <w:tab/>
        <w:t>53</w:t>
      </w:r>
    </w:p>
    <w:p>
      <w:pPr>
        <w:pStyle w:val="TOC1"/>
        <w:rPr>
          <w:rFonts w:ascii="Arial" w:hAnsi="Arial" w:cs="Arial"/>
          <w:sz w:val="24"/>
          <w:szCs w:val="24"/>
          <w:lang w:eastAsia="en-US"/>
        </w:rPr>
      </w:pPr>
      <w:r>
        <w:rPr>
          <w:rFonts w:cs="Arial" w:ascii="Arial" w:hAnsi="Arial"/>
          <w:sz w:val="24"/>
          <w:szCs w:val="24"/>
          <w:lang w:eastAsia="en-US"/>
        </w:rPr>
        <w:t>Pirkimo sąlygų 7 priedas „Pasiūlymų vertinimo kriterijai ir sąlygos“</w:t>
        <w:tab/>
        <w:t>57</w:t>
      </w:r>
    </w:p>
    <w:p>
      <w:pPr>
        <w:pStyle w:val="TOC1"/>
        <w:rPr>
          <w:rFonts w:ascii="Arial" w:hAnsi="Arial" w:cs="Arial"/>
          <w:sz w:val="24"/>
          <w:szCs w:val="24"/>
          <w:lang w:eastAsia="en-US"/>
        </w:rPr>
      </w:pPr>
      <w:r>
        <w:rPr>
          <w:rFonts w:cs="Arial" w:ascii="Arial" w:hAnsi="Arial"/>
          <w:sz w:val="24"/>
          <w:szCs w:val="24"/>
          <w:lang w:eastAsia="en-US"/>
        </w:rPr>
        <w:t>Pirkimo sąlygų 8 priedas „Sutarties projektas“</w:t>
        <w:tab/>
        <w:t>58</w:t>
      </w:r>
    </w:p>
    <w:p>
      <w:pPr>
        <w:pStyle w:val="TOC1"/>
        <w:rPr>
          <w:rFonts w:ascii="Arial" w:hAnsi="Arial" w:cs="Arial"/>
          <w:sz w:val="24"/>
          <w:szCs w:val="24"/>
          <w:lang w:eastAsia="en-US"/>
        </w:rPr>
      </w:pPr>
      <w:r>
        <w:rPr>
          <w:rFonts w:cs="Arial" w:ascii="Arial" w:hAnsi="Arial"/>
          <w:sz w:val="24"/>
          <w:szCs w:val="24"/>
          <w:lang w:eastAsia="en-US"/>
        </w:rPr>
        <w:t>Pirkimo sąlygų 9 priedas „Siūlomų specialistų sąrašas“</w:t>
        <w:tab/>
        <w:t>59</w:t>
      </w:r>
    </w:p>
    <w:p>
      <w:pPr>
        <w:pStyle w:val="TOC1"/>
        <w:rPr>
          <w:rFonts w:ascii="Arial" w:hAnsi="Arial" w:cs="Arial"/>
          <w:sz w:val="24"/>
          <w:szCs w:val="24"/>
          <w:lang w:eastAsia="en-US"/>
        </w:rPr>
      </w:pPr>
      <w:r>
        <w:rPr>
          <w:rFonts w:cs="Arial" w:ascii="Arial" w:hAnsi="Arial"/>
          <w:sz w:val="24"/>
          <w:szCs w:val="24"/>
          <w:lang w:eastAsia="en-US"/>
        </w:rPr>
        <w:t>Pirkimo sąlygų 10 priedas Objektų, kuriuose siūlomas specialistas vykdė archeologinio paveldo objektų projekto vadovo funkcijas, sąrašas“</w:t>
        <w:tab/>
        <w:t>61</w:t>
      </w:r>
    </w:p>
    <w:p>
      <w:pPr>
        <w:pStyle w:val="TOC2"/>
        <w:tabs>
          <w:tab w:val="clear" w:pos="142"/>
          <w:tab w:val="right" w:pos="9962" w:leader="dot"/>
        </w:tabs>
        <w:spacing w:lineRule="auto" w:line="240"/>
        <w:ind w:left="0"/>
        <w:rPr>
          <w:rFonts w:ascii="Arial" w:hAnsi="Arial" w:cs="Arial"/>
          <w:sz w:val="24"/>
          <w:szCs w:val="24"/>
          <w:lang w:eastAsia="en-US"/>
        </w:rPr>
      </w:pPr>
      <w:r>
        <w:rPr>
          <w:rFonts w:cs="Arial" w:ascii="Arial" w:hAnsi="Arial"/>
          <w:sz w:val="24"/>
          <w:szCs w:val="24"/>
          <w:lang w:eastAsia="en-US"/>
        </w:rPr>
      </w:r>
      <w:r>
        <w:br w:type="page"/>
      </w:r>
    </w:p>
    <w:p>
      <w:pPr>
        <w:pStyle w:val="Heading1"/>
        <w:numPr>
          <w:ilvl w:val="0"/>
          <w:numId w:val="1"/>
        </w:numPr>
        <w:tabs>
          <w:tab w:val="clear" w:pos="1296"/>
          <w:tab w:val="left" w:pos="360" w:leader="none"/>
        </w:tabs>
        <w:spacing w:before="0" w:after="120"/>
        <w:ind w:hanging="0" w:left="0"/>
        <w:contextualSpacing/>
        <w:rPr>
          <w:rFonts w:ascii="Arial" w:hAnsi="Arial" w:cs="Arial"/>
          <w:b/>
          <w:bCs/>
          <w:sz w:val="24"/>
          <w:szCs w:val="24"/>
        </w:rPr>
      </w:pPr>
      <w:bookmarkStart w:id="1" w:name="_Toc147739116"/>
      <w:bookmarkStart w:id="2" w:name="_Toc187926809"/>
      <w:bookmarkStart w:id="3" w:name="_Toc335201954"/>
      <w:bookmarkEnd w:id="3"/>
      <w:r>
        <w:rPr>
          <w:rFonts w:cs="Arial" w:ascii="Arial" w:hAnsi="Arial"/>
          <w:b/>
          <w:bCs/>
          <w:sz w:val="24"/>
          <w:szCs w:val="24"/>
        </w:rPr>
        <w:t>BENDRA INFORMACIJA</w:t>
      </w:r>
      <w:bookmarkEnd w:id="2"/>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b/>
          <w:bCs/>
          <w:sz w:val="24"/>
          <w:szCs w:val="24"/>
        </w:rPr>
      </w:pPr>
      <w:r>
        <w:rPr>
          <w:rFonts w:cs="Arial" w:ascii="Arial" w:hAnsi="Arial"/>
          <w:b/>
          <w:bCs/>
          <w:sz w:val="24"/>
          <w:szCs w:val="24"/>
        </w:rPr>
        <w:t xml:space="preserve">Perkančioji organizacija: </w:t>
      </w:r>
      <w:r>
        <w:rPr>
          <w:rFonts w:cs="Arial" w:ascii="Arial" w:hAnsi="Arial"/>
          <w:bCs/>
          <w:sz w:val="24"/>
          <w:szCs w:val="24"/>
        </w:rPr>
        <w:t>Prienų</w:t>
      </w:r>
      <w:r>
        <w:rPr>
          <w:rFonts w:cs="Arial" w:ascii="Arial" w:hAnsi="Arial"/>
          <w:sz w:val="24"/>
          <w:szCs w:val="24"/>
        </w:rPr>
        <w:t xml:space="preserve"> rajono savivaldybės administracija, juridinio asmens kodas 288742590, adresas: Laisvės a. 12, Prienai. Perkančioji organizacija nėra PVM mokėtoja. </w:t>
      </w:r>
      <w:r>
        <w:rPr>
          <w:rFonts w:eastAsia="Calibri" w:cs="Arial" w:ascii="Arial" w:hAnsi="Arial"/>
          <w:sz w:val="24"/>
          <w:szCs w:val="24"/>
        </w:rPr>
        <w:t xml:space="preserve">Sutartį pasirašys </w:t>
      </w:r>
      <w:r>
        <w:rPr>
          <w:rFonts w:cs="Arial" w:ascii="Arial" w:hAnsi="Arial"/>
          <w:sz w:val="24"/>
          <w:szCs w:val="24"/>
        </w:rPr>
        <w:t>Perkančioji organizacija</w:t>
      </w:r>
      <w:r>
        <w:rPr>
          <w:rFonts w:eastAsia="Calibri" w:cs="Arial" w:ascii="Arial" w:hAnsi="Arial"/>
          <w:sz w:val="24"/>
          <w:szCs w:val="24"/>
        </w:rPr>
        <w:t>.</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cs="Arial" w:ascii="Arial" w:hAnsi="Arial"/>
          <w:color w:themeColor="text1" w:val="000000"/>
          <w:sz w:val="24"/>
          <w:szCs w:val="24"/>
        </w:rPr>
        <w:t xml:space="preserve">Pirkimas neatliekamas naudojantis centralizuotų pirkimų katalogu, nes CPO kataloge nėra galimybės įsigyti reikiamų paslaugų. </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eastAsia="Times New Roman" w:cs="Arial" w:ascii="Arial" w:hAnsi="Arial"/>
          <w:sz w:val="24"/>
          <w:szCs w:val="24"/>
        </w:rPr>
        <w:t>Perkančioji organizacija nerezervuoja teisės dalyvauti pirkime.</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Stebėtojai dalyvauti Komisijos posėdžiuose nėra kviečiami.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Atliekamas žaliasis pirkimas. Pirkimas vykdomas vadovaujantis </w:t>
      </w:r>
      <w:r>
        <w:rPr>
          <w:rFonts w:cs="Arial" w:ascii="Arial" w:hAnsi="Arial"/>
          <w:color w:val="auto"/>
          <w:sz w:val="24"/>
          <w:szCs w:val="24"/>
        </w:rPr>
        <w:t xml:space="preserve">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4.4.3 punktu - perkama tik nematerialaus pobūdžio (intelektinė) ar kitokia paslauga, nesusijusi su materialaus objekto sukūrimu, kurios teikimo metu nėra numatomas reikšmingas neigiamas poveikis aplinkai, nesukuriamas taršos šaltinis ir negeneruojamos atliekos.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Išankstinis skelbimas apie pirkimą nebuvo paskelbtas</w:t>
      </w:r>
      <w:r>
        <w:rPr>
          <w:rFonts w:cs="Arial" w:ascii="Arial" w:hAnsi="Arial"/>
          <w:sz w:val="24"/>
          <w:szCs w:val="24"/>
          <w:lang w:eastAsia="en-US"/>
        </w:rPr>
        <w:t>.</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lang w:eastAsia="en-US"/>
        </w:rPr>
        <w:t xml:space="preserve">Pirkime </w:t>
      </w:r>
      <w:r>
        <w:rPr>
          <w:rFonts w:cs="Arial" w:ascii="Arial" w:hAnsi="Arial"/>
          <w:sz w:val="24"/>
          <w:szCs w:val="24"/>
        </w:rPr>
        <w:t>perkančioji organizacija</w:t>
      </w:r>
      <w:r>
        <w:rPr>
          <w:rFonts w:cs="Arial" w:ascii="Arial" w:hAnsi="Arial"/>
          <w:sz w:val="24"/>
          <w:szCs w:val="24"/>
          <w:lang w:eastAsia="en-US"/>
        </w:rPr>
        <w:t xml:space="preserve"> nenumato skelbti pranešimo dėl savanoriško </w:t>
      </w:r>
      <w:r>
        <w:rPr>
          <w:rFonts w:cs="Arial" w:ascii="Arial" w:hAnsi="Arial"/>
          <w:i/>
          <w:iCs/>
          <w:sz w:val="24"/>
          <w:szCs w:val="24"/>
          <w:lang w:eastAsia="en-US"/>
        </w:rPr>
        <w:t>ex ante</w:t>
      </w:r>
      <w:r>
        <w:rPr>
          <w:rFonts w:cs="Arial" w:ascii="Arial" w:hAnsi="Arial"/>
          <w:sz w:val="24"/>
          <w:szCs w:val="24"/>
          <w:lang w:eastAsia="en-US"/>
        </w:rPr>
        <w:t xml:space="preserve"> skaidrumo.</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Pirkime neleidžiama pateikti alternatyvių pasiūlymų.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Bendrosios pirkimo sąlygos yra neatskiriama šių pirkimo sąlygų dalis.</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Tiesioginį ryšį su tiekėjais įgalioti palaikyti perkančiosios organizacijos atstovai: viešųjų pirkimų klausimais – Linutė Mikušauskienė, Prienų rajono savivaldybės administracijos Statybos ir ekonominės plėtros skyriaus vyriausioji specialistė, tel. +370 319 61121, el. p. linute.mikusauskiene@prienai.lt</w:t>
      </w:r>
    </w:p>
    <w:p>
      <w:pPr>
        <w:pStyle w:val="Heading1"/>
        <w:tabs>
          <w:tab w:val="clear" w:pos="1296"/>
          <w:tab w:val="left" w:pos="360" w:leader="none"/>
        </w:tabs>
        <w:spacing w:before="360" w:after="120"/>
        <w:contextualSpacing/>
        <w:rPr>
          <w:rFonts w:ascii="Arial" w:hAnsi="Arial" w:cs="Arial"/>
          <w:b/>
          <w:bCs/>
          <w:sz w:val="24"/>
          <w:szCs w:val="24"/>
        </w:rPr>
      </w:pPr>
      <w:bookmarkStart w:id="4" w:name="_Ref39426338"/>
      <w:bookmarkStart w:id="5" w:name="_Ref39426332"/>
      <w:bookmarkStart w:id="6" w:name="_Toc187926810"/>
      <w:bookmarkStart w:id="7" w:name="_Toc335201954_Copy_1"/>
      <w:bookmarkEnd w:id="7"/>
      <w:r>
        <w:rPr>
          <w:rFonts w:cs="Arial" w:ascii="Arial" w:hAnsi="Arial"/>
          <w:b/>
          <w:bCs/>
          <w:sz w:val="24"/>
          <w:szCs w:val="24"/>
        </w:rPr>
        <w:t>2.  PIRKIMO OBJEKTAS</w:t>
      </w:r>
      <w:bookmarkEnd w:id="4"/>
      <w:bookmarkEnd w:id="5"/>
      <w:bookmarkEnd w:id="6"/>
    </w:p>
    <w:p>
      <w:pPr>
        <w:pStyle w:val="Normal"/>
        <w:tabs>
          <w:tab w:val="clear" w:pos="1296"/>
          <w:tab w:val="left" w:pos="1080" w:leader="none"/>
        </w:tabs>
        <w:spacing w:lineRule="auto" w:line="240" w:before="0" w:after="0"/>
        <w:ind w:firstLine="540"/>
        <w:jc w:val="both"/>
        <w:rPr>
          <w:rFonts w:ascii="Arial" w:hAnsi="Arial" w:eastAsia="Calibri" w:cs="Arial"/>
          <w:color w:themeColor="text1" w:val="000000"/>
          <w:sz w:val="24"/>
          <w:szCs w:val="24"/>
        </w:rPr>
      </w:pPr>
      <w:r>
        <w:rPr>
          <w:rFonts w:eastAsia="Calibri" w:cs="Arial" w:ascii="Arial" w:hAnsi="Arial"/>
          <w:color w:themeColor="text1" w:val="000000"/>
          <w:sz w:val="24"/>
          <w:szCs w:val="24"/>
        </w:rPr>
        <w:t xml:space="preserve">2.1. Perkančioji organizacija numato įsigyti </w:t>
      </w:r>
      <w:r>
        <w:rPr>
          <w:rFonts w:eastAsia="Calibri" w:cs="Times New Roman" w:ascii="Times New Roman" w:hAnsi="Times New Roman"/>
          <w:b/>
          <w:bCs/>
          <w:color w:val="000000"/>
          <w:sz w:val="24"/>
          <w:szCs w:val="24"/>
        </w:rPr>
        <w:t xml:space="preserve">Socialinių kortelių gaminimo ir </w:t>
      </w:r>
      <w:r>
        <w:rPr>
          <w:rFonts w:eastAsia="Calibri" w:cs="Times New Roman" w:ascii="Times New Roman" w:hAnsi="Times New Roman"/>
          <w:b/>
          <w:bCs/>
          <w:color w:themeColor="text1" w:val="000000"/>
          <w:sz w:val="24"/>
          <w:szCs w:val="24"/>
        </w:rPr>
        <w:t>aptarnavimo</w:t>
      </w:r>
      <w:r>
        <w:rPr>
          <w:rFonts w:eastAsia="Calibri" w:cs="Arial" w:ascii="Arial" w:hAnsi="Arial"/>
          <w:b/>
          <w:bCs/>
          <w:color w:themeColor="text1" w:val="000000"/>
          <w:sz w:val="24"/>
          <w:szCs w:val="24"/>
        </w:rPr>
        <w:t xml:space="preserve"> paslaugas</w:t>
      </w:r>
      <w:r>
        <w:rPr>
          <w:rFonts w:eastAsia="Calibri" w:cs="Arial" w:ascii="Arial" w:hAnsi="Arial"/>
          <w:color w:themeColor="text1" w:val="000000"/>
          <w:sz w:val="24"/>
          <w:szCs w:val="24"/>
        </w:rPr>
        <w:t>. Reikalavimai pirkimo objektui nustatyti specialiųjų pirkimo sąlygų 2 priede „Techninė specifikacija“.</w:t>
      </w:r>
    </w:p>
    <w:p>
      <w:pPr>
        <w:pStyle w:val="Normal"/>
        <w:tabs>
          <w:tab w:val="clear" w:pos="1296"/>
          <w:tab w:val="left" w:pos="1080" w:leader="none"/>
        </w:tabs>
        <w:spacing w:lineRule="auto" w:line="240" w:before="0" w:after="0"/>
        <w:ind w:firstLine="540"/>
        <w:jc w:val="both"/>
        <w:rPr>
          <w:rFonts w:ascii="Arial" w:hAnsi="Arial" w:eastAsia="Calibri" w:cs="Arial"/>
          <w:color w:themeColor="text1" w:val="000000"/>
          <w:sz w:val="24"/>
          <w:szCs w:val="24"/>
        </w:rPr>
      </w:pPr>
      <w:r>
        <w:rPr>
          <w:rFonts w:eastAsia="Calibri" w:cs="Arial" w:ascii="Arial" w:hAnsi="Arial"/>
          <w:color w:themeColor="text1" w:val="000000"/>
          <w:sz w:val="24"/>
          <w:szCs w:val="24"/>
        </w:rPr>
        <w:t xml:space="preserve">2.2. </w:t>
      </w:r>
      <w:r>
        <w:rPr>
          <w:rFonts w:cs="Arial" w:ascii="Arial" w:hAnsi="Arial"/>
          <w:sz w:val="24"/>
          <w:szCs w:val="24"/>
        </w:rPr>
        <w:t>Pirkimo objektas neskaidomas į atskiras dalis.</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color w:themeColor="text1" w:val="000000"/>
          <w:sz w:val="24"/>
          <w:szCs w:val="24"/>
        </w:rPr>
        <w:t>2.3. Jeigu apibūdinant pirkimo objektą techninėje specifikacijoje, Techniniame projekte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color w:themeColor="text1" w:val="000000"/>
          <w:sz w:val="24"/>
          <w:szCs w:val="24"/>
        </w:rPr>
        <w:t>2.4. Jeigu apibūdinant pirkimo objektą techninėje specifikacijoje, Techniniame projekte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pPr>
        <w:pStyle w:val="Heading1"/>
        <w:spacing w:before="360" w:after="120"/>
        <w:contextualSpacing/>
        <w:rPr>
          <w:rFonts w:ascii="Arial" w:hAnsi="Arial" w:cs="Arial"/>
          <w:b/>
          <w:bCs/>
          <w:sz w:val="24"/>
          <w:szCs w:val="24"/>
        </w:rPr>
      </w:pPr>
      <w:bookmarkStart w:id="8" w:name="_Toc187926811"/>
      <w:bookmarkStart w:id="9" w:name="_Hlk178767231"/>
      <w:bookmarkEnd w:id="9"/>
      <w:r>
        <w:rPr>
          <w:rFonts w:cs="Arial" w:ascii="Arial" w:hAnsi="Arial"/>
          <w:b/>
          <w:bCs/>
          <w:sz w:val="24"/>
          <w:szCs w:val="24"/>
        </w:rPr>
        <w:t xml:space="preserve">3. </w:t>
      </w:r>
      <w:bookmarkStart w:id="10" w:name="_Ref39740354"/>
      <w:bookmarkStart w:id="11" w:name="_Ref39427927"/>
      <w:bookmarkStart w:id="12" w:name="_Ref39427921"/>
      <w:r>
        <w:rPr>
          <w:rFonts w:cs="Arial" w:ascii="Arial" w:hAnsi="Arial"/>
          <w:b/>
          <w:bCs/>
          <w:sz w:val="24"/>
          <w:szCs w:val="24"/>
        </w:rPr>
        <w:t>SUSITIKIMAI SU TIEKĖJAIS</w:t>
      </w:r>
      <w:bookmarkEnd w:id="8"/>
      <w:bookmarkEnd w:id="10"/>
      <w:bookmarkEnd w:id="11"/>
      <w:bookmarkEnd w:id="12"/>
    </w:p>
    <w:p>
      <w:pPr>
        <w:pStyle w:val="ListParagraph"/>
        <w:numPr>
          <w:ilvl w:val="1"/>
          <w:numId w:val="7"/>
        </w:numPr>
        <w:tabs>
          <w:tab w:val="clear" w:pos="1296"/>
          <w:tab w:val="left" w:pos="993"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Perkančioji organizacija nerengs susitikimo su tiekėjais dėl pirkimo sąlygų paaiškinimo.</w:t>
      </w:r>
    </w:p>
    <w:p>
      <w:pPr>
        <w:pStyle w:val="ListParagraph"/>
        <w:numPr>
          <w:ilvl w:val="1"/>
          <w:numId w:val="7"/>
        </w:numPr>
        <w:tabs>
          <w:tab w:val="clear" w:pos="1296"/>
          <w:tab w:val="left" w:pos="993"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Perkančioji organizacija nerengs objekto apžiūros.</w:t>
      </w:r>
    </w:p>
    <w:p>
      <w:pPr>
        <w:pStyle w:val="Heading1"/>
        <w:spacing w:before="360" w:after="120"/>
        <w:contextualSpacing/>
        <w:rPr>
          <w:rFonts w:ascii="Arial" w:hAnsi="Arial" w:cs="Arial"/>
          <w:b/>
          <w:bCs/>
          <w:sz w:val="24"/>
          <w:szCs w:val="24"/>
        </w:rPr>
      </w:pPr>
      <w:bookmarkStart w:id="13" w:name="_Toc187926812"/>
      <w:bookmarkStart w:id="14" w:name="_Ref39474188"/>
      <w:bookmarkStart w:id="15" w:name="_Ref39473761"/>
      <w:bookmarkStart w:id="16" w:name="_Ref39473754"/>
      <w:r>
        <w:rPr>
          <w:rFonts w:cs="Arial" w:ascii="Arial" w:hAnsi="Arial"/>
          <w:b/>
          <w:bCs/>
          <w:sz w:val="24"/>
          <w:szCs w:val="24"/>
        </w:rPr>
        <w:t>4. TIEKĖJŲ PAŠALINIMO PAGRINDAI</w:t>
      </w:r>
      <w:bookmarkEnd w:id="14"/>
      <w:bookmarkEnd w:id="15"/>
      <w:bookmarkEnd w:id="16"/>
      <w:r>
        <w:rPr>
          <w:rFonts w:cs="Arial" w:ascii="Arial" w:hAnsi="Arial"/>
          <w:b/>
          <w:bCs/>
          <w:sz w:val="24"/>
          <w:szCs w:val="24"/>
        </w:rPr>
        <w:t xml:space="preserve"> IR KVALIFIKACIJOS REIKALAVIMAI</w:t>
      </w:r>
      <w:bookmarkEnd w:id="13"/>
    </w:p>
    <w:p>
      <w:pPr>
        <w:pStyle w:val="ListParagraph"/>
        <w:numPr>
          <w:ilvl w:val="1"/>
          <w:numId w:val="8"/>
        </w:numPr>
        <w:tabs>
          <w:tab w:val="clear" w:pos="1296"/>
          <w:tab w:val="left" w:pos="993" w:leader="none"/>
        </w:tabs>
        <w:spacing w:lineRule="auto" w:line="240" w:before="0" w:after="120"/>
        <w:ind w:firstLine="567" w:left="0"/>
        <w:contextualSpacing/>
        <w:jc w:val="both"/>
        <w:rPr>
          <w:rFonts w:ascii="Arial" w:hAnsi="Arial" w:cs="Arial"/>
          <w:sz w:val="24"/>
          <w:szCs w:val="24"/>
        </w:rPr>
      </w:pPr>
      <w:r>
        <w:rPr>
          <w:rFonts w:cs="Arial" w:ascii="Arial" w:hAnsi="Arial"/>
          <w:sz w:val="24"/>
          <w:szCs w:val="24"/>
        </w:rPr>
        <w:t>Reikalavimai dėl tiekėjo ir ūkio subjektų, kurių pajėgumais tiekėjas remiasi, pašalinimo pagrindų nebuvimo bei jų nebuvimą patvirtinantys dokumentai nurodyti specialiųjų pirkimo sąlygų 3 priede „Tiekėjų pašalinimo pagrindai“.</w:t>
      </w:r>
    </w:p>
    <w:p>
      <w:pPr>
        <w:pStyle w:val="ListParagraph"/>
        <w:numPr>
          <w:ilvl w:val="1"/>
          <w:numId w:val="8"/>
        </w:numPr>
        <w:tabs>
          <w:tab w:val="clear" w:pos="1296"/>
          <w:tab w:val="left" w:pos="993" w:leader="none"/>
        </w:tabs>
        <w:spacing w:lineRule="auto" w:line="240" w:before="0" w:after="120"/>
        <w:ind w:firstLine="567" w:left="0"/>
        <w:contextualSpacing/>
        <w:jc w:val="both"/>
        <w:rPr>
          <w:rFonts w:ascii="Arial" w:hAnsi="Arial" w:cs="Arial"/>
          <w:sz w:val="24"/>
          <w:szCs w:val="24"/>
        </w:rPr>
      </w:pPr>
      <w:r>
        <w:rPr>
          <w:rFonts w:cs="Arial" w:ascii="Arial" w:hAnsi="Arial"/>
          <w:sz w:val="24"/>
          <w:szCs w:val="24"/>
        </w:rPr>
        <w:t xml:space="preserve"> </w:t>
      </w:r>
      <w:r>
        <w:rPr>
          <w:rFonts w:cs="Arial" w:ascii="Arial" w:hAnsi="Arial"/>
          <w:sz w:val="24"/>
          <w:szCs w:val="24"/>
        </w:rPr>
        <w:t>Tiekėjams nustatomi kvalifikacijos reikalavimai ir reikalavimai dėl aplinkos apsaugos vadybos sistemos standartų laikymosi ir jų atitiktį patvirtinantys dokumentai nurodyti specialiųjų pirkimo sąlygų 4 priede „Tiekėjų kvalifikacijos reikalavimai ir reikalaujami aplinkos apsaugos vadybos sistemų standartai“.</w:t>
      </w:r>
    </w:p>
    <w:p>
      <w:pPr>
        <w:pStyle w:val="Heading1"/>
        <w:tabs>
          <w:tab w:val="clear" w:pos="1296"/>
          <w:tab w:val="left" w:pos="567" w:leader="none"/>
        </w:tabs>
        <w:spacing w:before="360" w:after="0"/>
        <w:contextualSpacing/>
        <w:jc w:val="both"/>
        <w:rPr>
          <w:rFonts w:ascii="Arial" w:hAnsi="Arial" w:cs="Arial"/>
          <w:b/>
          <w:bCs/>
          <w:sz w:val="24"/>
          <w:szCs w:val="24"/>
        </w:rPr>
      </w:pPr>
      <w:bookmarkStart w:id="17" w:name="_Toc187926813"/>
      <w:r>
        <w:rPr>
          <w:rFonts w:cs="Arial" w:ascii="Arial" w:hAnsi="Arial"/>
          <w:b/>
          <w:bCs/>
          <w:sz w:val="24"/>
          <w:szCs w:val="24"/>
        </w:rPr>
        <w:t>5. REIKALAVIMAI, SUSIJĘ SU NACIONALINIU SAUGUMU</w:t>
      </w:r>
      <w:bookmarkEnd w:id="17"/>
      <w:r>
        <w:rPr>
          <w:rFonts w:cs="Arial" w:ascii="Arial" w:hAnsi="Arial"/>
          <w:b/>
          <w:bCs/>
          <w:sz w:val="24"/>
          <w:szCs w:val="24"/>
        </w:rPr>
        <w:t xml:space="preserve"> </w:t>
      </w:r>
    </w:p>
    <w:p>
      <w:pPr>
        <w:pStyle w:val="Normal"/>
        <w:spacing w:lineRule="auto" w:line="240" w:before="0" w:after="0"/>
        <w:ind w:firstLine="567"/>
        <w:jc w:val="both"/>
        <w:rPr>
          <w:rFonts w:ascii="Arial" w:hAnsi="Arial" w:cs="Arial"/>
          <w:color w:themeColor="text1" w:val="000000"/>
          <w:sz w:val="24"/>
          <w:szCs w:val="24"/>
        </w:rPr>
      </w:pPr>
      <w:r>
        <w:rPr>
          <w:rFonts w:cs="Arial" w:ascii="Arial" w:hAnsi="Arial"/>
          <w:color w:themeColor="text1" w:val="000000"/>
          <w:sz w:val="24"/>
          <w:szCs w:val="24"/>
        </w:rPr>
      </w:r>
    </w:p>
    <w:p>
      <w:pPr>
        <w:pStyle w:val="Normal"/>
        <w:spacing w:lineRule="auto" w:line="240" w:before="0" w:after="0"/>
        <w:ind w:firstLine="567"/>
        <w:jc w:val="both"/>
        <w:rPr>
          <w:rFonts w:ascii="Arial" w:hAnsi="Arial" w:cs="Arial"/>
          <w:color w:themeColor="text1" w:val="000000"/>
          <w:sz w:val="24"/>
          <w:szCs w:val="24"/>
        </w:rPr>
      </w:pPr>
      <w:r>
        <w:rPr>
          <w:rFonts w:cs="Arial" w:ascii="Arial" w:hAnsi="Arial"/>
          <w:color w:themeColor="text1" w:val="000000"/>
          <w:sz w:val="24"/>
          <w:szCs w:val="24"/>
        </w:rPr>
        <w:t xml:space="preserve">5.1. Reikalavimai, susiję su nacionaliniu saugumu netaikomi. </w:t>
      </w:r>
    </w:p>
    <w:p>
      <w:pPr>
        <w:pStyle w:val="Heading1"/>
        <w:spacing w:before="360" w:after="120"/>
        <w:contextualSpacing/>
        <w:rPr>
          <w:rFonts w:ascii="Arial" w:hAnsi="Arial" w:cs="Arial"/>
          <w:b/>
          <w:bCs/>
          <w:sz w:val="24"/>
          <w:szCs w:val="24"/>
        </w:rPr>
      </w:pPr>
      <w:bookmarkStart w:id="18" w:name="_Ref39666796"/>
      <w:bookmarkStart w:id="19" w:name="_Ref39666794"/>
      <w:bookmarkStart w:id="20" w:name="_Toc187926814"/>
      <w:r>
        <w:rPr>
          <w:rFonts w:cs="Arial" w:ascii="Arial" w:hAnsi="Arial"/>
          <w:b/>
          <w:bCs/>
          <w:sz w:val="24"/>
          <w:szCs w:val="24"/>
        </w:rPr>
        <w:t>6. SPECIALIEJI REIKALAVIMAI PASIŪLYMŲ RENGIMUI IR PATEIKIMUI</w:t>
      </w:r>
      <w:bookmarkEnd w:id="18"/>
      <w:bookmarkEnd w:id="19"/>
      <w:bookmarkEnd w:id="20"/>
    </w:p>
    <w:p>
      <w:pPr>
        <w:pStyle w:val="ListParagraph"/>
        <w:numPr>
          <w:ilvl w:val="0"/>
          <w:numId w:val="6"/>
        </w:numPr>
        <w:tabs>
          <w:tab w:val="clear" w:pos="1296"/>
          <w:tab w:val="left" w:pos="1080" w:leader="none"/>
        </w:tabs>
        <w:spacing w:lineRule="auto" w:line="240" w:before="0" w:after="0"/>
        <w:ind w:firstLine="567" w:left="0"/>
        <w:contextualSpacing/>
        <w:jc w:val="both"/>
        <w:rPr>
          <w:rFonts w:ascii="Arial" w:hAnsi="Arial" w:cs="Arial"/>
          <w:b/>
          <w:bCs/>
          <w:i/>
          <w:i/>
          <w:iCs/>
          <w:sz w:val="24"/>
          <w:szCs w:val="24"/>
        </w:rPr>
      </w:pPr>
      <w:r>
        <w:rPr>
          <w:rFonts w:cs="Arial" w:ascii="Arial" w:hAnsi="Arial"/>
          <w:b/>
          <w:bCs/>
          <w:sz w:val="24"/>
          <w:szCs w:val="24"/>
        </w:rPr>
        <w:t>Tiekėjo pasiūlymą sudaro CVP IS pateikiamų ir žemiau nurodytų dokumentų visuma:</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 xml:space="preserve">tiekėjo pasirašytas pasiūlymas, parengtas pagal šių pirkimo sąlygų </w:t>
      </w:r>
      <w:r>
        <w:rPr>
          <w:rFonts w:cs="Arial" w:ascii="Arial" w:hAnsi="Arial"/>
          <w:sz w:val="24"/>
          <w:szCs w:val="24"/>
          <w:shd w:fill="FFFFFF" w:val="clear"/>
        </w:rPr>
        <w:t xml:space="preserve">6 </w:t>
      </w:r>
      <w:r>
        <w:rPr>
          <w:rFonts w:cs="Arial" w:ascii="Arial" w:hAnsi="Arial"/>
          <w:sz w:val="24"/>
          <w:szCs w:val="24"/>
        </w:rPr>
        <w:t>priede „Pasiūlymo forma“ pateiktą pasiūlymo formą;</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užpildytas EBVPD (specialiųjų pirkimo sąlygų 5 priedas „EBVPD“ (XML formatu)). Pasirašydamas pasiūlymą, tiekėjas patvirtina ir EBVPD tikrumą;</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jungtinės veiklos sutarties kopija (jeigu pirkime dalyvauja ūkio subjektų grupė jungtinės veiklos sutarties pagrindu);</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dokumentas, patvirtinantis, kad asmuo, kuris pasirašė pasiūlymą (jei jis ne tiekėjo vadovas), turėjo teisę jį pasirašyti;</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pasiūlymo galiojimą užtikrinantis dokumentas;</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jei tiekėjas pasitelkia ūkio subjektus, kurių pajėgumais remiasi, – įrodymai, kad šie ištekliai bus prieinami per visą sutartinių įsipareigojimų vykdymo laikotarpį;</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jei tiekėjas pasitelkia subtiekėjus, subtiekėjo deklaracija ar kitas dokumentas, patvirtinantis jo sutikimą būti subtiekėju pirkime;</w:t>
      </w:r>
    </w:p>
    <w:p>
      <w:pPr>
        <w:pStyle w:val="ListParagraph"/>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 xml:space="preserve">6.2. </w:t>
      </w:r>
      <w:r>
        <w:rPr>
          <w:rFonts w:cs="Arial" w:ascii="Arial" w:hAnsi="Arial"/>
          <w:sz w:val="24"/>
          <w:szCs w:val="24"/>
          <w:u w:val="none"/>
        </w:rPr>
        <w:t>Perkančioji organizacija nereikalauja, kad pasiūlymas būtų pasirašytas.</w:t>
      </w:r>
    </w:p>
    <w:p>
      <w:pPr>
        <w:pStyle w:val="ListParagraph"/>
        <w:spacing w:lineRule="auto" w:line="240" w:before="0" w:after="0"/>
        <w:ind w:firstLine="540" w:left="0"/>
        <w:contextualSpacing/>
        <w:jc w:val="both"/>
        <w:rPr>
          <w:rFonts w:ascii="Arial" w:hAnsi="Arial" w:cs="Arial"/>
          <w:sz w:val="24"/>
          <w:szCs w:val="24"/>
        </w:rPr>
      </w:pPr>
      <w:r>
        <w:rPr>
          <w:rFonts w:eastAsia="Calibri" w:cs="Arial" w:ascii="Arial" w:hAnsi="Arial"/>
          <w:bCs/>
          <w:iCs/>
          <w:sz w:val="24"/>
          <w:szCs w:val="24"/>
        </w:rPr>
        <w:t xml:space="preserve">6.3. </w:t>
      </w:r>
      <w:r>
        <w:rPr>
          <w:rFonts w:cs="Arial" w:ascii="Arial" w:hAnsi="Arial"/>
          <w:sz w:val="24"/>
          <w:szCs w:val="24"/>
        </w:rPr>
        <w:t>Pasiūlymas turi būti parengtas lietuvių kalba</w:t>
      </w:r>
      <w:r>
        <w:rPr>
          <w:rFonts w:cs="Arial" w:ascii="Arial" w:hAnsi="Arial"/>
          <w:color w:val="7030A0"/>
          <w:sz w:val="24"/>
          <w:szCs w:val="24"/>
        </w:rPr>
        <w:t xml:space="preserve">. </w:t>
      </w:r>
      <w:r>
        <w:rPr>
          <w:rFonts w:eastAsia="Arial" w:cs="Arial" w:ascii="Arial" w:hAnsi="Arial"/>
          <w:sz w:val="24"/>
          <w:szCs w:val="24"/>
        </w:rPr>
        <w:t xml:space="preserve">Jei kurie nors su pasiūlymu teikiami dokumentai parengti ne ta kalba, kuria reikalaujama, turi būti pateiktas tikslus vertimas į reikalaujamą kalbą. </w:t>
      </w:r>
      <w:r>
        <w:rPr>
          <w:rFonts w:cs="Arial" w:ascii="Arial" w:hAnsi="Arial"/>
          <w:sz w:val="24"/>
          <w:szCs w:val="24"/>
        </w:rPr>
        <w:t xml:space="preserve">Perkančiajai organizacijai turint įtarimų dėl pasiūlyme pateikto dokumento vertimo kokybės ir (ar) jo atitikties dokumento originalo turiniui, perkančioji organizacija reikalauja pateikti vertėjo parašu ir vertimų biuro antspaudu (jei turi) patvirtintą šio dokumento vertimą. </w:t>
      </w:r>
    </w:p>
    <w:p>
      <w:pPr>
        <w:pStyle w:val="ListParagraph"/>
        <w:spacing w:lineRule="auto" w:line="240" w:before="0" w:after="0"/>
        <w:ind w:firstLine="540" w:left="0"/>
        <w:contextualSpacing/>
        <w:jc w:val="both"/>
        <w:rPr>
          <w:rFonts w:ascii="Arial" w:hAnsi="Arial" w:eastAsia="Arial" w:cs="Arial"/>
          <w:sz w:val="24"/>
          <w:szCs w:val="24"/>
        </w:rPr>
      </w:pPr>
      <w:r>
        <w:rPr>
          <w:rFonts w:cs="Arial" w:ascii="Arial" w:hAnsi="Arial"/>
          <w:sz w:val="24"/>
          <w:szCs w:val="24"/>
        </w:rPr>
        <w:t xml:space="preserve">6.4. </w:t>
      </w:r>
      <w:r>
        <w:rPr>
          <w:rFonts w:eastAsia="Arial" w:cs="Arial" w:ascii="Arial" w:hAnsi="Arial"/>
          <w:sz w:val="24"/>
          <w:szCs w:val="24"/>
        </w:rPr>
        <w:t>Bendra pasiūlymo kaina (sąnaudos) su PVM  turi būti nurodoma dviejų skaičių po kablelio tikslumu. Šią kainą sudarančios kainos sudedamosios dalys ar įkainiai gali būti išreikštos neribojant skaičių po kablelio kiekio.</w:t>
      </w:r>
    </w:p>
    <w:p>
      <w:pPr>
        <w:pStyle w:val="ListParagraph"/>
        <w:spacing w:lineRule="auto" w:line="240" w:before="0" w:after="0"/>
        <w:ind w:firstLine="540" w:left="0"/>
        <w:contextualSpacing/>
        <w:jc w:val="both"/>
        <w:rPr>
          <w:rFonts w:ascii="Arial" w:hAnsi="Arial" w:cs="Arial"/>
          <w:bCs/>
          <w:iCs/>
          <w:sz w:val="24"/>
          <w:szCs w:val="24"/>
          <w:u w:val="single"/>
        </w:rPr>
      </w:pPr>
      <w:r>
        <w:rPr>
          <w:rFonts w:eastAsia="Arial" w:cs="Arial" w:ascii="Arial" w:hAnsi="Arial"/>
          <w:sz w:val="24"/>
          <w:szCs w:val="24"/>
        </w:rPr>
        <w:t xml:space="preserve">6.5. Tiekėjų pasiūlymuose nurodytos kainos bus vertinamos </w:t>
      </w:r>
      <w:r>
        <w:rPr>
          <w:rFonts w:cs="Arial" w:ascii="Arial" w:hAnsi="Arial"/>
          <w:sz w:val="24"/>
          <w:szCs w:val="24"/>
        </w:rPr>
        <w:t xml:space="preserve">ir lyginamos su visais mokesčiais, įskaitant PVM. </w:t>
      </w:r>
    </w:p>
    <w:p>
      <w:pPr>
        <w:pStyle w:val="Heading1"/>
        <w:tabs>
          <w:tab w:val="clear" w:pos="1296"/>
          <w:tab w:val="left" w:pos="709" w:leader="none"/>
        </w:tabs>
        <w:rPr>
          <w:rFonts w:ascii="Arial" w:hAnsi="Arial" w:cs="Arial"/>
          <w:b/>
          <w:bCs/>
          <w:sz w:val="24"/>
          <w:szCs w:val="24"/>
        </w:rPr>
      </w:pPr>
      <w:bookmarkStart w:id="21" w:name="_Ref39430779"/>
      <w:bookmarkStart w:id="22" w:name="_Ref39430768"/>
      <w:bookmarkStart w:id="23" w:name="_Toc187926815"/>
      <w:bookmarkStart w:id="24" w:name="_Toc91497106"/>
      <w:bookmarkStart w:id="25" w:name="_Toc91497105"/>
      <w:bookmarkStart w:id="26" w:name="_Toc91497104"/>
      <w:bookmarkStart w:id="27" w:name="_Toc91497103"/>
      <w:bookmarkStart w:id="28" w:name="_Toc91497102"/>
      <w:bookmarkEnd w:id="24"/>
      <w:bookmarkEnd w:id="25"/>
      <w:bookmarkEnd w:id="26"/>
      <w:bookmarkEnd w:id="27"/>
      <w:bookmarkEnd w:id="28"/>
      <w:r>
        <w:rPr>
          <w:rFonts w:cs="Arial" w:ascii="Arial" w:hAnsi="Arial"/>
          <w:b/>
          <w:bCs/>
          <w:sz w:val="24"/>
          <w:szCs w:val="24"/>
        </w:rPr>
        <w:t>7. PASIŪLYMO GALIOJIMO UŽTIKRINIMAS</w:t>
      </w:r>
      <w:bookmarkEnd w:id="21"/>
      <w:bookmarkEnd w:id="22"/>
      <w:bookmarkEnd w:id="23"/>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 xml:space="preserve">7.1. </w:t>
      </w:r>
      <w:r>
        <w:rPr>
          <w:rFonts w:eastAsia="Calibri" w:cs="Arial" w:ascii="Arial" w:hAnsi="Arial"/>
          <w:color w:val="000000"/>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pPr>
        <w:pStyle w:val="Heading1"/>
        <w:tabs>
          <w:tab w:val="clear" w:pos="1296"/>
          <w:tab w:val="left" w:pos="709" w:leader="none"/>
        </w:tabs>
        <w:rPr>
          <w:rFonts w:ascii="Arial" w:hAnsi="Arial" w:cs="Arial"/>
          <w:b/>
          <w:bCs/>
          <w:sz w:val="24"/>
          <w:szCs w:val="24"/>
        </w:rPr>
      </w:pPr>
      <w:bookmarkStart w:id="29" w:name="_Ref39658251"/>
      <w:bookmarkStart w:id="30" w:name="_Ref39658248"/>
      <w:bookmarkStart w:id="31" w:name="_Ref39658226"/>
      <w:bookmarkStart w:id="32" w:name="_Ref39658218"/>
      <w:bookmarkStart w:id="33" w:name="_Toc187926816"/>
      <w:r>
        <w:rPr>
          <w:rFonts w:cs="Arial" w:ascii="Arial" w:hAnsi="Arial"/>
          <w:b/>
          <w:bCs/>
          <w:sz w:val="24"/>
          <w:szCs w:val="24"/>
        </w:rPr>
        <w:t>8. ELEKTRONINIS AUKCIONAS</w:t>
      </w:r>
      <w:bookmarkEnd w:id="29"/>
      <w:bookmarkEnd w:id="30"/>
      <w:bookmarkEnd w:id="31"/>
      <w:bookmarkEnd w:id="32"/>
      <w:bookmarkEnd w:id="33"/>
    </w:p>
    <w:p>
      <w:pPr>
        <w:pStyle w:val="Normal"/>
        <w:spacing w:lineRule="auto" w:line="240" w:before="0" w:after="0"/>
        <w:ind w:firstLine="567"/>
        <w:rPr>
          <w:rFonts w:ascii="Arial" w:hAnsi="Arial" w:cs="Arial"/>
          <w:sz w:val="24"/>
          <w:szCs w:val="24"/>
        </w:rPr>
      </w:pPr>
      <w:r>
        <w:rPr>
          <w:rFonts w:cs="Arial" w:ascii="Arial" w:hAnsi="Arial"/>
          <w:sz w:val="24"/>
          <w:szCs w:val="24"/>
        </w:rPr>
        <w:t>8.1. Perkančioji organizacija pirkime netaikys elektroninio aukciono.</w:t>
      </w:r>
    </w:p>
    <w:p>
      <w:pPr>
        <w:pStyle w:val="Heading1"/>
        <w:tabs>
          <w:tab w:val="clear" w:pos="1296"/>
          <w:tab w:val="left" w:pos="709" w:leader="none"/>
        </w:tabs>
        <w:spacing w:before="360" w:after="120"/>
        <w:contextualSpacing/>
        <w:rPr>
          <w:rFonts w:ascii="Arial" w:hAnsi="Arial" w:cs="Arial"/>
          <w:b/>
          <w:bCs/>
          <w:sz w:val="24"/>
          <w:szCs w:val="24"/>
        </w:rPr>
      </w:pPr>
      <w:bookmarkStart w:id="34" w:name="_Toc187926817"/>
      <w:bookmarkStart w:id="35" w:name="_Ref39485258"/>
      <w:bookmarkStart w:id="36" w:name="_Ref39485250"/>
      <w:bookmarkStart w:id="37" w:name="_Ref39667308"/>
      <w:bookmarkStart w:id="38" w:name="_Ref39667303"/>
      <w:r>
        <w:rPr>
          <w:rFonts w:cs="Arial" w:ascii="Arial" w:hAnsi="Arial"/>
          <w:b/>
          <w:bCs/>
          <w:sz w:val="24"/>
          <w:szCs w:val="24"/>
        </w:rPr>
        <w:t>9. PASIŪLYMŲ VERTINIMAS</w:t>
      </w:r>
      <w:bookmarkEnd w:id="35"/>
      <w:bookmarkEnd w:id="36"/>
      <w:bookmarkEnd w:id="37"/>
      <w:bookmarkEnd w:id="38"/>
      <w:r>
        <w:rPr>
          <w:rFonts w:cs="Arial" w:ascii="Arial" w:hAnsi="Arial"/>
          <w:b/>
          <w:bCs/>
          <w:sz w:val="24"/>
          <w:szCs w:val="24"/>
        </w:rPr>
        <w:t xml:space="preserve"> IR PASIŪLYMŲ ATMETIMO PRIEŽASTYS</w:t>
      </w:r>
      <w:bookmarkEnd w:id="34"/>
    </w:p>
    <w:p>
      <w:pPr>
        <w:pStyle w:val="Normal"/>
        <w:spacing w:lineRule="auto" w:line="240" w:before="0" w:after="0"/>
        <w:ind w:firstLine="720"/>
        <w:jc w:val="both"/>
        <w:rPr>
          <w:rFonts w:ascii="Arial" w:hAnsi="Arial" w:cs="Arial"/>
          <w:sz w:val="24"/>
          <w:szCs w:val="24"/>
        </w:rPr>
      </w:pPr>
      <w:r>
        <w:rPr>
          <w:rFonts w:cs="Arial" w:ascii="Arial" w:hAnsi="Arial"/>
          <w:sz w:val="24"/>
          <w:szCs w:val="24"/>
        </w:rPr>
        <w:t xml:space="preserve">9.1. Perkančioji organizacija ekonomiškai naudingiausią pasiūlymą išrenka pagal </w:t>
      </w:r>
      <w:r>
        <w:rPr>
          <w:rFonts w:eastAsia="Calibri" w:cs="Arial" w:ascii="Arial" w:hAnsi="Arial"/>
          <w:sz w:val="24"/>
          <w:szCs w:val="24"/>
        </w:rPr>
        <w:t>tiekėjo pasiūlyme nurodytą nuolaidos procentą (</w:t>
      </w:r>
      <w:bookmarkStart w:id="39" w:name="_Hlk91157291"/>
      <w:r>
        <w:rPr>
          <w:rFonts w:eastAsia="Calibri" w:cs="Arial" w:ascii="Arial" w:hAnsi="Arial"/>
          <w:sz w:val="24"/>
          <w:szCs w:val="24"/>
        </w:rPr>
        <w:t xml:space="preserve"> 6 priedas „Pasiūlymo forma“.</w:t>
      </w:r>
      <w:bookmarkEnd w:id="39"/>
      <w:r>
        <w:rPr>
          <w:rFonts w:eastAsia="Calibri" w:cs="Arial" w:ascii="Arial" w:hAnsi="Arial"/>
          <w:sz w:val="24"/>
          <w:szCs w:val="24"/>
        </w:rPr>
        <w:t>)</w:t>
      </w:r>
    </w:p>
    <w:p>
      <w:pPr>
        <w:pStyle w:val="Normal"/>
        <w:spacing w:lineRule="auto" w:line="240" w:before="0" w:after="0"/>
        <w:ind w:firstLine="720"/>
        <w:jc w:val="both"/>
        <w:rPr>
          <w:rFonts w:ascii="Arial" w:hAnsi="Arial" w:cs="Arial"/>
          <w:sz w:val="24"/>
          <w:szCs w:val="24"/>
        </w:rPr>
      </w:pPr>
      <w:r>
        <w:rPr>
          <w:rFonts w:cs="Arial" w:ascii="Arial" w:hAnsi="Arial"/>
          <w:sz w:val="24"/>
          <w:szCs w:val="24"/>
        </w:rPr>
        <w:t xml:space="preserve">9.2. Laimėjusiu pasiūlymu galės būti pripažintas tik 1 (vienas) ekonomiškai naudingiausias pasiūlymas, esantis pasiūlymų eilės pirmojoje vietoje (didžiausias nuolaidos procentas). </w:t>
      </w:r>
    </w:p>
    <w:p>
      <w:pPr>
        <w:pStyle w:val="Normal"/>
        <w:spacing w:lineRule="auto" w:line="240" w:before="0" w:after="0"/>
        <w:ind w:firstLine="720"/>
        <w:jc w:val="both"/>
        <w:rPr>
          <w:rFonts w:ascii="Arial" w:hAnsi="Arial" w:cs="Arial"/>
          <w:sz w:val="24"/>
          <w:szCs w:val="24"/>
        </w:rPr>
      </w:pPr>
      <w:r>
        <w:rPr>
          <w:rFonts w:cs="Arial" w:ascii="Arial" w:hAnsi="Arial"/>
          <w:sz w:val="24"/>
          <w:szCs w:val="24"/>
        </w:rPr>
        <w:t>9.3. Perkančioji organizacija atmes tiekėjo pasiūlymą, jeigu kartu su pasiūlymu nebus pateikti šie pirkimo sąlygose reikalaujami pateikti dokumentai: 6.1.1 papunktyje nurodyti dokumentai.</w:t>
      </w:r>
    </w:p>
    <w:p>
      <w:pPr>
        <w:pStyle w:val="Heading1"/>
        <w:tabs>
          <w:tab w:val="clear" w:pos="1296"/>
          <w:tab w:val="left" w:pos="567" w:leader="none"/>
        </w:tabs>
        <w:spacing w:before="360" w:after="120"/>
        <w:contextualSpacing/>
        <w:rPr>
          <w:rFonts w:ascii="Arial" w:hAnsi="Arial" w:cs="Arial"/>
          <w:b/>
          <w:bCs/>
          <w:sz w:val="24"/>
          <w:szCs w:val="24"/>
        </w:rPr>
      </w:pPr>
      <w:bookmarkStart w:id="40" w:name="_Ref39426005"/>
      <w:bookmarkStart w:id="41" w:name="_Ref39425999"/>
      <w:bookmarkStart w:id="42" w:name="_Toc187926818"/>
      <w:r>
        <w:rPr>
          <w:rFonts w:cs="Arial" w:ascii="Arial" w:hAnsi="Arial"/>
          <w:b/>
          <w:bCs/>
          <w:sz w:val="24"/>
          <w:szCs w:val="24"/>
        </w:rPr>
        <w:t>10. SUTARTIES SUDARYMAS</w:t>
      </w:r>
      <w:bookmarkEnd w:id="40"/>
      <w:bookmarkEnd w:id="41"/>
      <w:bookmarkEnd w:id="42"/>
    </w:p>
    <w:p>
      <w:pPr>
        <w:pStyle w:val="ListParagraph"/>
        <w:numPr>
          <w:ilvl w:val="1"/>
          <w:numId w:val="5"/>
        </w:numPr>
        <w:shd w:val="clear" w:color="auto" w:fill="FFFFFF"/>
        <w:spacing w:lineRule="auto" w:line="240" w:before="0" w:after="0"/>
        <w:ind w:firstLine="567" w:left="0"/>
        <w:contextualSpacing/>
        <w:jc w:val="both"/>
        <w:rPr>
          <w:rFonts w:ascii="Arial" w:hAnsi="Arial" w:eastAsia="Calibri" w:cs="Arial"/>
          <w:sz w:val="24"/>
          <w:szCs w:val="24"/>
        </w:rPr>
      </w:pPr>
      <w:r>
        <w:rPr>
          <w:rFonts w:cs="Arial" w:ascii="Arial" w:hAnsi="Arial"/>
          <w:color w:themeColor="text1" w:val="000000"/>
          <w:sz w:val="24"/>
          <w:szCs w:val="24"/>
        </w:rPr>
        <w:t>Ši pirkimo procedūra atliekama siekiant sudaryti sutartį su tiekėju, kurio pasiūlymas, vadovaujantis pirkimo sąlygose</w:t>
      </w:r>
      <w:r>
        <w:rPr>
          <w:rFonts w:cs="Arial" w:ascii="Arial" w:hAnsi="Arial"/>
          <w:color w:val="0070C0"/>
          <w:sz w:val="24"/>
          <w:szCs w:val="24"/>
        </w:rPr>
        <w:t xml:space="preserve"> </w:t>
      </w:r>
      <w:r>
        <w:rPr>
          <w:rFonts w:cs="Arial" w:ascii="Arial" w:hAnsi="Arial"/>
          <w:color w:themeColor="text1" w:val="000000"/>
          <w:sz w:val="24"/>
          <w:szCs w:val="24"/>
        </w:rPr>
        <w:t xml:space="preserve">nustatyta tvarka, bus pripažintas laimėjęs. </w:t>
      </w:r>
      <w:r>
        <w:rPr>
          <w:rFonts w:cs="Arial" w:ascii="Arial" w:hAnsi="Arial"/>
          <w:sz w:val="24"/>
          <w:szCs w:val="24"/>
        </w:rPr>
        <w:t>Sutarties sąlygos pateikiamos specialiųjų pirkimo sąlygų 9 priede „Sutarties projektas“.</w:t>
      </w:r>
      <w:bookmarkEnd w:id="1"/>
    </w:p>
    <w:p>
      <w:pPr>
        <w:pStyle w:val="Heading1"/>
        <w:tabs>
          <w:tab w:val="clear" w:pos="1296"/>
          <w:tab w:val="left" w:pos="567" w:leader="none"/>
        </w:tabs>
        <w:spacing w:before="360" w:after="120"/>
        <w:contextualSpacing/>
        <w:rPr>
          <w:rFonts w:ascii="Arial" w:hAnsi="Arial" w:cs="Arial"/>
          <w:b/>
          <w:bCs/>
          <w:sz w:val="24"/>
          <w:szCs w:val="24"/>
        </w:rPr>
      </w:pPr>
      <w:bookmarkStart w:id="43" w:name="_Toc187926819"/>
      <w:r>
        <w:rPr>
          <w:rFonts w:cs="Arial" w:ascii="Arial" w:hAnsi="Arial"/>
          <w:b/>
          <w:bCs/>
          <w:sz w:val="24"/>
          <w:szCs w:val="24"/>
        </w:rPr>
        <w:t>11. ASMENS DUOMENŲ TVARKYMAS</w:t>
      </w:r>
      <w:bookmarkEnd w:id="43"/>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Nurodytais pagrindais bus tvarkomi tiesiogiai tiekėjų pateikti asmens duomenys.</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pPr>
        <w:pStyle w:val="Normal"/>
        <w:shd w:val="clear" w:color="auto" w:fill="FFFFFF"/>
        <w:spacing w:lineRule="auto" w:line="240" w:before="0" w:after="0"/>
        <w:jc w:val="center"/>
        <w:rPr>
          <w:rFonts w:ascii="Arial" w:hAnsi="Arial" w:eastAsia="Calibri" w:cs="Arial"/>
          <w:sz w:val="24"/>
          <w:szCs w:val="24"/>
        </w:rPr>
      </w:pPr>
      <w:r>
        <w:rPr>
          <w:rFonts w:eastAsia="Calibri" w:cs="Arial" w:ascii="Arial" w:hAnsi="Arial"/>
          <w:sz w:val="24"/>
          <w:szCs w:val="24"/>
        </w:rPr>
        <w:t>__________</w:t>
      </w:r>
    </w:p>
    <w:p>
      <w:pPr>
        <w:pStyle w:val="Normal"/>
        <w:shd w:val="clear" w:color="auto" w:fill="FFFFFF"/>
        <w:spacing w:lineRule="auto" w:line="240" w:before="0" w:after="0"/>
        <w:jc w:val="center"/>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t>Pirkimo sąlygų 1 priedas „Terminai“</w:t>
      </w:r>
    </w:p>
    <w:p>
      <w:pPr>
        <w:pStyle w:val="Normal"/>
        <w:shd w:val="clear" w:color="auto" w:fill="FFFFFF"/>
        <w:spacing w:lineRule="auto" w:line="240" w:before="0" w:after="0"/>
        <w:jc w:val="right"/>
        <w:rPr>
          <w:rFonts w:ascii="Arial" w:hAnsi="Arial" w:eastAsia="Calibri" w:cs="Arial"/>
          <w:color w:val="0070C0"/>
          <w:sz w:val="24"/>
          <w:szCs w:val="24"/>
        </w:rPr>
      </w:pPr>
      <w:r>
        <w:rPr>
          <w:rFonts w:eastAsia="Calibri" w:cs="Arial" w:ascii="Arial" w:hAnsi="Arial"/>
          <w:color w:val="0070C0"/>
          <w:sz w:val="24"/>
          <w:szCs w:val="24"/>
        </w:rPr>
      </w:r>
    </w:p>
    <w:tbl>
      <w:tblPr>
        <w:tblW w:w="9900"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621"/>
        <w:gridCol w:w="3520"/>
        <w:gridCol w:w="3060"/>
        <w:gridCol w:w="2698"/>
      </w:tblGrid>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bCs/>
                <w:sz w:val="24"/>
                <w:szCs w:val="24"/>
              </w:rPr>
            </w:pPr>
            <w:r>
              <w:rPr>
                <w:rFonts w:cs="Arial" w:ascii="Arial" w:hAnsi="Arial"/>
                <w:b/>
                <w:bCs/>
                <w:sz w:val="24"/>
                <w:szCs w:val="24"/>
              </w:rPr>
              <w:t>Eil. Nr.</w:t>
            </w:r>
          </w:p>
        </w:tc>
        <w:tc>
          <w:tcPr>
            <w:tcW w:w="3520"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bCs/>
                <w:sz w:val="24"/>
                <w:szCs w:val="24"/>
              </w:rPr>
            </w:pPr>
            <w:r>
              <w:rPr>
                <w:rFonts w:cs="Arial" w:ascii="Arial" w:hAnsi="Arial"/>
                <w:b/>
                <w:bCs/>
                <w:sz w:val="24"/>
                <w:szCs w:val="24"/>
              </w:rPr>
              <w:t>VEIKSMAS</w:t>
            </w:r>
          </w:p>
        </w:tc>
        <w:tc>
          <w:tcPr>
            <w:tcW w:w="3060"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sz w:val="24"/>
                <w:szCs w:val="24"/>
              </w:rPr>
            </w:pPr>
            <w:r>
              <w:rPr>
                <w:rFonts w:cs="Arial" w:ascii="Arial" w:hAnsi="Arial"/>
                <w:b/>
                <w:sz w:val="24"/>
                <w:szCs w:val="24"/>
              </w:rPr>
              <w:t>DATA/DIENŲ SKAIČIUS/ LAIKAS</w:t>
            </w:r>
          </w:p>
          <w:p>
            <w:pPr>
              <w:pStyle w:val="Normal"/>
              <w:spacing w:lineRule="auto" w:line="240" w:before="0" w:after="0"/>
              <w:jc w:val="center"/>
              <w:rPr>
                <w:rFonts w:ascii="Arial" w:hAnsi="Arial" w:cs="Arial"/>
                <w:sz w:val="24"/>
                <w:szCs w:val="24"/>
              </w:rPr>
            </w:pPr>
            <w:r>
              <w:rPr>
                <w:rFonts w:cs="Arial" w:ascii="Arial" w:hAnsi="Arial"/>
                <w:sz w:val="24"/>
                <w:szCs w:val="24"/>
              </w:rPr>
              <w:t>(Lietuvos laiku)</w:t>
            </w:r>
          </w:p>
        </w:tc>
        <w:tc>
          <w:tcPr>
            <w:tcW w:w="2698"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sz w:val="24"/>
                <w:szCs w:val="24"/>
              </w:rPr>
            </w:pPr>
            <w:r>
              <w:rPr>
                <w:rFonts w:cs="Arial" w:ascii="Arial" w:hAnsi="Arial"/>
                <w:b/>
                <w:sz w:val="24"/>
                <w:szCs w:val="24"/>
              </w:rPr>
              <w:t>PASTABOS</w:t>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1.</w:t>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sz w:val="24"/>
                <w:szCs w:val="24"/>
              </w:rPr>
            </w:pPr>
            <w:r>
              <w:rPr>
                <w:rFonts w:cs="Arial" w:ascii="Arial" w:hAnsi="Arial"/>
                <w:bCs/>
                <w:sz w:val="24"/>
                <w:szCs w:val="24"/>
              </w:rPr>
              <w:t>Pasiūlymų pateikimo terminas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nurodytas skelbime</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sz w:val="24"/>
                <w:szCs w:val="24"/>
              </w:rPr>
            </w:pPr>
            <w:r>
              <w:rPr>
                <w:rFonts w:cs="Arial" w:ascii="Arial" w:hAnsi="Arial"/>
                <w:sz w:val="24"/>
                <w:szCs w:val="24"/>
              </w:rPr>
              <w:t>Perkančioji organizacija turi teisę pratęsti pasiūlymų pateikimo terminą.</w:t>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2.</w:t>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sz w:val="24"/>
                <w:szCs w:val="24"/>
              </w:rPr>
            </w:pPr>
            <w:r>
              <w:rPr>
                <w:rFonts w:eastAsia="Times New Roman" w:cs="Arial" w:ascii="Arial" w:hAnsi="Arial"/>
                <w:sz w:val="24"/>
                <w:szCs w:val="24"/>
              </w:rPr>
              <w:t>Pradinis susipažinimas su CVP IS priemonėmis gautais pasiūlymais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 xml:space="preserve">Pradedamas ne anksčiau nei </w:t>
            </w:r>
            <w:r>
              <w:rPr>
                <w:rFonts w:cs="Arial" w:ascii="Arial" w:hAnsi="Arial"/>
                <w:color w:themeColor="text1" w:val="000000"/>
                <w:sz w:val="24"/>
                <w:szCs w:val="24"/>
              </w:rPr>
              <w:t>po 30 minučių</w:t>
            </w:r>
            <w:r>
              <w:rPr>
                <w:rFonts w:cs="Arial" w:ascii="Arial" w:hAnsi="Arial"/>
                <w:sz w:val="24"/>
                <w:szCs w:val="24"/>
              </w:rPr>
              <w:t xml:space="preserve"> po pasiūlymų pateikimo termino pabaigos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sz w:val="24"/>
                <w:szCs w:val="24"/>
              </w:rPr>
            </w:pPr>
            <w:r>
              <w:rPr>
                <w:rFonts w:cs="Arial" w:ascii="Arial" w:hAnsi="Arial"/>
                <w:iCs/>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3.</w:t>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jc w:val="both"/>
              <w:rPr>
                <w:rFonts w:ascii="Arial" w:hAnsi="Arial" w:cs="Arial"/>
                <w:bCs/>
                <w:sz w:val="24"/>
                <w:szCs w:val="24"/>
              </w:rPr>
            </w:pPr>
            <w:r>
              <w:rPr>
                <w:rFonts w:cs="Arial" w:ascii="Arial" w:hAnsi="Arial"/>
                <w:sz w:val="24"/>
                <w:szCs w:val="24"/>
              </w:rPr>
              <w:t>Prašymą paaiškinti, patikslinti pirkimo sąlygas tiekėjas turi pateikti ne vėliau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6 (šešios)  dienos iki pasiūlymų pateikimo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color w:val="7030A0"/>
                <w:sz w:val="24"/>
                <w:szCs w:val="24"/>
              </w:rPr>
            </w:pPr>
            <w:r>
              <w:rPr>
                <w:rFonts w:cs="Arial" w:ascii="Arial" w:hAnsi="Arial"/>
                <w:iCs/>
                <w:color w:val="7030A0"/>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7"/>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pirkimo sąlygų paaiškinimą, patikslinimą pateikia visiems tiekėjams ne vėliau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4 (keturios) dienos iki pasiūlymų pateikimo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Objekto apžiūra bus vykdoma:</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color w:val="FF0000"/>
                <w:sz w:val="24"/>
                <w:szCs w:val="24"/>
              </w:rPr>
            </w:pPr>
            <w:r>
              <w:rPr>
                <w:rFonts w:cs="Arial" w:ascii="Arial" w:hAnsi="Arial"/>
                <w:iCs/>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rengs susitikimus su tiekėjais dėl pirkimo sąlygų paaiškinimo</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sz w:val="24"/>
                <w:szCs w:val="24"/>
              </w:rPr>
            </w:pPr>
            <w:r>
              <w:rPr>
                <w:rFonts w:cs="Arial" w:ascii="Arial" w:hAnsi="Arial"/>
                <w:iCs/>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Tiekėjai turi pateikti prekių pavyzdžius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cs="Arial"/>
                <w:color w:val="auto"/>
                <w:sz w:val="24"/>
                <w:szCs w:val="24"/>
                <w:lang w:val="lt-LT"/>
              </w:rPr>
            </w:pPr>
            <w:r>
              <w:rPr>
                <w:rFonts w:cs="Arial" w:ascii="Arial" w:hAnsi="Arial"/>
                <w:color w:val="auto"/>
                <w:sz w:val="24"/>
                <w:szCs w:val="24"/>
                <w:lang w:val="lt-LT"/>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Pasiūlymo galiojimo ir pasiūlymo galiojimo užtikrinimo (jei taikoma) terminas ne trumpesnis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sz w:val="24"/>
                <w:szCs w:val="24"/>
              </w:rPr>
            </w:pPr>
            <w:r>
              <w:rPr>
                <w:rFonts w:cs="Arial" w:ascii="Arial" w:hAnsi="Arial"/>
                <w:iCs/>
                <w:sz w:val="24"/>
                <w:szCs w:val="24"/>
              </w:rPr>
              <w:t>90 (devyniasdešimt) dienų nuo pasiūlymų pateikimo galutinio termino pabaigos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sz w:val="24"/>
                <w:szCs w:val="24"/>
              </w:rPr>
              <w:t>Perkančioji organizacija atsako tiekėjui, ar ji sutinka priimti tiekėjo siūlomą pasiūlymo galiojimo užtikrinimą patvirtinantį dokumentą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cs="Arial"/>
                <w:iCs/>
                <w:sz w:val="24"/>
                <w:szCs w:val="24"/>
                <w:lang w:val="lt-LT"/>
              </w:rPr>
            </w:pPr>
            <w:r>
              <w:rPr>
                <w:rFonts w:cs="Arial" w:ascii="Arial" w:hAnsi="Arial"/>
                <w:iCs/>
                <w:sz w:val="24"/>
                <w:szCs w:val="24"/>
                <w:lang w:val="lt-LT"/>
              </w:rPr>
              <w:t>3 (tris) darbo dienas nuo prašymo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color w:themeColor="text1" w:val="000000"/>
                <w:sz w:val="24"/>
                <w:szCs w:val="24"/>
              </w:rPr>
              <w:t>Pasiūlymo galiojimo užtikrinimas pirkimo dalyviui grąžinamas (arba atsisakoma teisių į jį)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color w:val="000000"/>
              </w:rPr>
            </w:pPr>
            <w:r>
              <w:rPr>
                <w:rFonts w:cs="Arial" w:ascii="Arial" w:hAnsi="Arial"/>
                <w:iCs/>
                <w:color w:val="000000"/>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Perkančioji organizacija informuoja pirkimo dalyvius apie EBVPD vertinimo rezultatus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3 (tris) darbo dienas nuo sprendimo priėmimo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 xml:space="preserve">Perkančioji organizacija pirkimo dalyviams praneša apie priimtą sprendimą nustatyti laimėjusį pasiūlymą, </w:t>
            </w:r>
            <w:r>
              <w:rPr>
                <w:rFonts w:cs="Arial" w:ascii="Arial" w:hAnsi="Arial"/>
                <w:sz w:val="24"/>
                <w:szCs w:val="24"/>
              </w:rPr>
              <w:t>dėl kurio bus sudaroma</w:t>
            </w:r>
            <w:r>
              <w:rPr>
                <w:rFonts w:cs="Arial" w:ascii="Arial" w:hAnsi="Arial"/>
                <w:bCs/>
                <w:sz w:val="24"/>
                <w:szCs w:val="24"/>
              </w:rPr>
              <w:t xml:space="preserve"> sutartis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3 (tris) darbo dienas nuo sprendimo priėmimo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Perkančioji organizacija, pirkimo dalyviui raštu paprašius, jam pateikia VPĮ 58 straipsnio 2 dalyje nustatytą informaciją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15 (penkiolika) dienų nuo pirkimo dalyvio raštu pateikto prašymo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Tajtip"/>
              <w:shd w:val="clear" w:color="auto" w:fill="FFFFFF"/>
              <w:spacing w:beforeAutospacing="0" w:before="0" w:afterAutospacing="0" w:after="0"/>
              <w:ind w:firstLine="313"/>
              <w:rPr>
                <w:rFonts w:ascii="Arial" w:hAnsi="Arial" w:cs="Arial"/>
              </w:rPr>
            </w:pPr>
            <w:r>
              <w:rPr>
                <w:rFonts w:cs="Arial" w:ascii="Arial" w:hAnsi="Arial"/>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color w:val="000000"/>
                <w:sz w:val="24"/>
                <w:szCs w:val="24"/>
                <w:shd w:fill="FFFFFF" w:val="clear"/>
              </w:rPr>
              <w:t xml:space="preserve">Tiekėjas turi teisę pateikti pretenziją perkančiajai organizacijai, pateikti prašymą ar pareikšti ieškinį teismui </w:t>
            </w:r>
            <w:r>
              <w:rPr>
                <w:rFonts w:cs="Arial" w:ascii="Arial" w:hAnsi="Arial"/>
                <w:bCs/>
                <w:sz w:val="24"/>
                <w:szCs w:val="24"/>
              </w:rPr>
              <w:t>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 xml:space="preserve">5 (penkias) dienas nuo </w:t>
            </w:r>
            <w:r>
              <w:rPr>
                <w:rFonts w:eastAsia="Arial" w:cs="Arial" w:ascii="Arial" w:hAnsi="Arial"/>
                <w:sz w:val="24"/>
                <w:szCs w:val="24"/>
              </w:rPr>
              <w:t>perkančiosios organizacijos</w:t>
            </w:r>
            <w:r>
              <w:rPr>
                <w:rFonts w:cs="Arial" w:ascii="Arial" w:hAnsi="Arial"/>
                <w:sz w:val="24"/>
                <w:szCs w:val="24"/>
              </w:rPr>
              <w:t xml:space="preserve"> pranešimo raštu apie jos priimtą sprendimą išsiuntimo tiekėjams dienos arba nuo paskelbimo apie </w:t>
            </w:r>
            <w:r>
              <w:rPr>
                <w:rFonts w:eastAsia="Arial" w:cs="Arial" w:ascii="Arial" w:hAnsi="Arial"/>
                <w:sz w:val="24"/>
                <w:szCs w:val="24"/>
              </w:rPr>
              <w:t>perkančiosios organizacijos</w:t>
            </w:r>
            <w:r>
              <w:rPr>
                <w:rFonts w:cs="Arial" w:ascii="Arial" w:hAnsi="Arial"/>
                <w:sz w:val="24"/>
                <w:szCs w:val="24"/>
              </w:rPr>
              <w:t xml:space="preserve"> priimtus sprendimus dienos, jei VPĮ nenumato reikalavimo raštu informuoti tiekėjus apie </w:t>
            </w:r>
            <w:r>
              <w:rPr>
                <w:rFonts w:eastAsia="Arial" w:cs="Arial" w:ascii="Arial" w:hAnsi="Arial"/>
                <w:sz w:val="24"/>
                <w:szCs w:val="24"/>
              </w:rPr>
              <w:t xml:space="preserve"> perkančiosios organizacijos</w:t>
            </w:r>
            <w:r>
              <w:rPr>
                <w:rFonts w:cs="Arial" w:ascii="Arial" w:hAnsi="Arial"/>
                <w:sz w:val="24"/>
                <w:szCs w:val="24"/>
              </w:rPr>
              <w:t xml:space="preserve"> priimtus sprendimus;</w:t>
            </w:r>
          </w:p>
          <w:p>
            <w:pPr>
              <w:pStyle w:val="Normal"/>
              <w:spacing w:lineRule="auto" w:line="240" w:before="0" w:after="0"/>
              <w:jc w:val="both"/>
              <w:rPr>
                <w:rFonts w:ascii="Arial" w:hAnsi="Arial" w:cs="Arial"/>
                <w:sz w:val="24"/>
                <w:szCs w:val="24"/>
              </w:rPr>
            </w:pPr>
            <w:r>
              <w:rPr>
                <w:rFonts w:cs="Arial" w:ascii="Arial" w:hAnsi="Arial"/>
                <w:sz w:val="24"/>
                <w:szCs w:val="24"/>
              </w:rPr>
              <w:t>15 (penkiolika) dienų nuo pranešimo išsiuntimo tiekėjams dienos, jeigu šis pranešimas nebuvo siunčiamas elektroninėmis priemonėmis.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6 (šešias) darbo dienas nuo pretenzijos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sz w:val="24"/>
                <w:szCs w:val="24"/>
              </w:rPr>
              <w:t>Jeigu perkančioji organizacija per nustatytą terminą neišnagrinėja jai pateiktos pretenzijos, tiekėjas turi teisę pateikti prašymą ar pareikšti ieškinį teismui per</w:t>
            </w:r>
            <w:r>
              <w:rPr>
                <w:rFonts w:cs="Arial" w:ascii="Arial" w:hAnsi="Arial"/>
                <w:bCs/>
                <w:sz w:val="24"/>
                <w:szCs w:val="24"/>
              </w:rPr>
              <w:t xml:space="preserve"> (išskyrus </w:t>
            </w:r>
            <w:r>
              <w:rPr>
                <w:rFonts w:cs="Arial" w:ascii="Arial" w:hAnsi="Arial"/>
                <w:sz w:val="24"/>
                <w:szCs w:val="24"/>
              </w:rPr>
              <w:t>VPĮ 102 str. 3 d. ir 4 d. numatytus atvejus)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per 15 (penkiolika) dienų nuo dienos, kurią perkančioji organizacija turėjo raštu pranešti apie priimtą sprendimą pretenziją pateikusiam tiekėjui,   suinteresuotiems pirkimo dalyviams.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negali sudaryti sutarties anksčiau kaip po</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Calibri" w:ascii="Arial" w:hAnsi="Arial"/>
                <w:bCs/>
                <w:sz w:val="24"/>
                <w:szCs w:val="24"/>
                <w:lang w:val="lt-LT"/>
              </w:rPr>
              <w:t xml:space="preserve">5 (penkių) </w:t>
            </w:r>
            <w:r>
              <w:rPr>
                <w:rFonts w:cs="Arial" w:ascii="Arial" w:hAnsi="Arial"/>
                <w:bCs/>
                <w:sz w:val="24"/>
                <w:szCs w:val="24"/>
              </w:rPr>
              <w:t xml:space="preserve"> dienų</w:t>
            </w:r>
            <w:r>
              <w:rPr>
                <w:rFonts w:cs="Arial" w:ascii="Arial" w:hAnsi="Arial"/>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 xml:space="preserve">Jeigu </w:t>
            </w:r>
            <w:r>
              <w:rPr>
                <w:rFonts w:cs="Arial" w:ascii="Arial" w:hAnsi="Arial"/>
                <w:iCs/>
                <w:sz w:val="24"/>
                <w:szCs w:val="24"/>
              </w:rPr>
              <w:t>suinteresuotas dalyvis paprašys perkančiosios organizacijos pateikti laimėjusį pasiūlymą</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bl>
    <w:p>
      <w:pPr>
        <w:pStyle w:val="Normal"/>
        <w:tabs>
          <w:tab w:val="clear" w:pos="1296"/>
          <w:tab w:val="left" w:pos="2977" w:leader="none"/>
        </w:tabs>
        <w:spacing w:lineRule="auto" w:line="240" w:before="0" w:after="120"/>
        <w:jc w:val="center"/>
        <w:rPr>
          <w:rFonts w:ascii="Arial" w:hAnsi="Arial" w:eastAsia="Calibri" w:cs="Arial"/>
          <w:sz w:val="24"/>
          <w:szCs w:val="24"/>
        </w:rPr>
      </w:pPr>
      <w:r>
        <w:rPr>
          <w:rFonts w:eastAsia="Calibri" w:cs="Arial" w:ascii="Arial" w:hAnsi="Arial"/>
          <w:sz w:val="24"/>
          <w:szCs w:val="24"/>
        </w:rPr>
      </w:r>
    </w:p>
    <w:p>
      <w:pPr>
        <w:pStyle w:val="Normal"/>
        <w:spacing w:lineRule="auto" w:line="240"/>
        <w:jc w:val="center"/>
        <w:rPr>
          <w:rFonts w:ascii="Arial" w:hAnsi="Arial" w:eastAsia="Calibri" w:cs="Arial"/>
          <w:sz w:val="24"/>
          <w:szCs w:val="24"/>
        </w:rPr>
      </w:pPr>
      <w:r>
        <w:rPr>
          <w:rFonts w:cs="Arial" w:ascii="Arial" w:hAnsi="Arial"/>
          <w:smallCaps/>
          <w:sz w:val="24"/>
          <w:szCs w:val="24"/>
        </w:rPr>
        <w:t>______________</w:t>
      </w:r>
      <w:bookmarkStart w:id="44" w:name="_Ref38899023"/>
      <w:bookmarkStart w:id="45" w:name="_Ref38885053"/>
      <w:bookmarkStart w:id="46" w:name="_Ref38541068"/>
      <w:bookmarkStart w:id="47" w:name="_Ref38539939"/>
    </w:p>
    <w:p>
      <w:pPr>
        <w:pStyle w:val="Normal"/>
        <w:spacing w:lineRule="auto" w:line="240"/>
        <w:rPr>
          <w:rFonts w:ascii="Arial" w:hAnsi="Arial" w:eastAsia="Calibri" w:cs="Arial"/>
          <w:sz w:val="24"/>
          <w:szCs w:val="24"/>
        </w:rPr>
      </w:pPr>
      <w:r>
        <w:rPr>
          <w:rFonts w:eastAsia="Calibri" w:cs="Arial" w:ascii="Arial" w:hAnsi="Arial"/>
          <w:sz w:val="24"/>
          <w:szCs w:val="24"/>
        </w:rPr>
      </w:r>
      <w:bookmarkStart w:id="48" w:name="_Hlk175219611"/>
      <w:bookmarkStart w:id="49" w:name="_Hlk175219611"/>
      <w:bookmarkEnd w:id="49"/>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ind w:left="7290"/>
        <w:rPr>
          <w:rFonts w:ascii="Arial" w:hAnsi="Arial" w:eastAsia="Calibri" w:cs="Arial"/>
          <w:sz w:val="24"/>
          <w:szCs w:val="24"/>
        </w:rPr>
      </w:pPr>
      <w:bookmarkStart w:id="50" w:name="_Hlk173919358"/>
      <w:r>
        <w:rPr>
          <w:rFonts w:eastAsia="Calibri" w:cs="Arial" w:ascii="Arial" w:hAnsi="Arial"/>
          <w:sz w:val="24"/>
          <w:szCs w:val="24"/>
        </w:rPr>
        <w:t>Pirkimo sąlygų 2 priedas „Techninė specifikacija“</w:t>
      </w:r>
      <w:bookmarkEnd w:id="44"/>
      <w:bookmarkEnd w:id="45"/>
      <w:bookmarkEnd w:id="46"/>
      <w:bookmarkEnd w:id="47"/>
      <w:bookmarkEnd w:id="50"/>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TECHNINĖ SPECIFIKACIJA</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SOCIALINIŲ KORTELIŲ GAMINIMO IR APTARNAVIMO PASLAUGOS</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Prienų rajono savivaldybės administracija numato organizuoti ir atlikti Socialinių paslaugų (socialinių kortelių gaminimo ir aptarnavimo paslaugos) pirkimą.</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 </w:t>
      </w:r>
      <w:r>
        <w:rPr>
          <w:rFonts w:cs="Times New Roman" w:ascii="Times New Roman" w:hAnsi="Times New Roman"/>
          <w:color w:val="000000"/>
          <w:sz w:val="24"/>
          <w:szCs w:val="24"/>
        </w:rPr>
        <w:t xml:space="preserve">Pirkimo objektas: Socialinių kortelių gaminimo ir </w:t>
      </w:r>
      <w:r>
        <w:rPr>
          <w:rFonts w:cs="Times New Roman" w:ascii="Times New Roman" w:hAnsi="Times New Roman"/>
          <w:sz w:val="24"/>
          <w:szCs w:val="24"/>
        </w:rPr>
        <w:t xml:space="preserve">aptarnavimo </w:t>
      </w:r>
      <w:r>
        <w:rPr>
          <w:rFonts w:cs="Times New Roman" w:ascii="Times New Roman" w:hAnsi="Times New Roman"/>
          <w:color w:val="000000"/>
          <w:sz w:val="24"/>
          <w:szCs w:val="24"/>
        </w:rPr>
        <w:t>paslaugos</w:t>
      </w:r>
      <w:r>
        <w:rPr>
          <w:rFonts w:cs="Times New Roman" w:ascii="Times New Roman" w:hAnsi="Times New Roman"/>
          <w:sz w:val="24"/>
          <w:szCs w:val="24"/>
        </w:rPr>
        <w:t xml:space="preserve"> (toliau – paslaugos).</w:t>
      </w:r>
    </w:p>
    <w:p>
      <w:pPr>
        <w:pStyle w:val="Normal"/>
        <w:spacing w:lineRule="auto" w:line="240" w:before="0" w:after="0"/>
        <w:ind w:firstLine="709"/>
        <w:jc w:val="both"/>
        <w:rPr>
          <w:rFonts w:ascii="Times New Roman" w:hAnsi="Times New Roman" w:eastAsia="Times New Roman" w:cs="Times New Roman"/>
          <w:bCs/>
          <w:sz w:val="24"/>
          <w:szCs w:val="24"/>
        </w:rPr>
      </w:pPr>
      <w:r>
        <w:rPr>
          <w:rFonts w:eastAsia="Times New Roman" w:cs="Times New Roman" w:ascii="Times New Roman" w:hAnsi="Times New Roman"/>
          <w:bCs/>
          <w:iCs/>
          <w:sz w:val="24"/>
          <w:szCs w:val="24"/>
        </w:rPr>
        <w:t xml:space="preserve">2. </w:t>
      </w:r>
      <w:r>
        <w:rPr>
          <w:rFonts w:eastAsia="Times New Roman" w:cs="Times New Roman" w:ascii="Times New Roman" w:hAnsi="Times New Roman"/>
          <w:bCs/>
          <w:sz w:val="24"/>
          <w:szCs w:val="24"/>
        </w:rPr>
        <w:t>Perkamos paslaugos apimtys: p</w:t>
      </w:r>
      <w:r>
        <w:rPr>
          <w:rFonts w:eastAsia="Times New Roman" w:cs="Times New Roman" w:ascii="Times New Roman" w:hAnsi="Times New Roman"/>
          <w:sz w:val="24"/>
          <w:szCs w:val="24"/>
        </w:rPr>
        <w:t>er 12 (dvylika) mėnesių numatomas socialinių kortelių kiekis apie 200 vnt. Socialinių kortelių skaičius gali didėti arba mažėti iki 20 procentų.  Tiekėjas Prienų rajono savivaldybėje turi turėti ne mažiau kaip 1 prekybos tašką.</w:t>
      </w:r>
      <w:r>
        <w:rPr>
          <w:rFonts w:eastAsia="Times New Roman" w:cs="Times New Roman" w:ascii="Times New Roman" w:hAnsi="Times New Roman"/>
          <w:bCs/>
          <w:sz w:val="24"/>
          <w:szCs w:val="24"/>
        </w:rPr>
        <w:t xml:space="preserve"> </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3. </w:t>
      </w:r>
      <w:r>
        <w:rPr>
          <w:rFonts w:eastAsia="Times New Roman" w:cs="Times New Roman" w:ascii="Times New Roman" w:hAnsi="Times New Roman"/>
          <w:color w:val="000000"/>
          <w:sz w:val="24"/>
          <w:szCs w:val="24"/>
          <w:lang w:eastAsia="lt-LT"/>
        </w:rPr>
        <w:t>Reikalavimai tiekėjui:</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w:t>
      </w:r>
      <w:r>
        <w:rPr>
          <w:rFonts w:eastAsia="Times New Roman" w:cs="Times New Roman" w:ascii="Times New Roman" w:hAnsi="Times New Roman"/>
          <w:sz w:val="24"/>
          <w:szCs w:val="24"/>
          <w:lang w:eastAsia="lt-LT"/>
        </w:rPr>
        <w:t>1. P</w:t>
      </w:r>
      <w:r>
        <w:rPr>
          <w:rFonts w:eastAsia="Times New Roman" w:cs="Times New Roman" w:ascii="Times New Roman" w:hAnsi="Times New Roman"/>
          <w:sz w:val="24"/>
          <w:szCs w:val="24"/>
        </w:rPr>
        <w:t>arduoti perkančiosios organizacijos sąraše (toliau – Sąrašas) nurodytų socialinių kortelių turėtojų nuosavybėn kokybiškas prekes, parduodamas tiekėjo prekybos centre, sutartyje nustatyta tvarka.</w:t>
      </w:r>
      <w:r>
        <w:rPr>
          <w:rFonts w:cs="Times New Roman" w:ascii="Times New Roman" w:hAnsi="Times New Roman"/>
          <w:sz w:val="24"/>
          <w:szCs w:val="24"/>
        </w:rPr>
        <w:t xml:space="preserve"> Tiekėjas turi užtikrinti pakankamą prekių asortimentą: maisto prekės,  asmens higienos prekės, buities prekės, mokyklinės prekės (rugpjūčio, rugsėjo mėnesiais). </w:t>
      </w:r>
      <w:r>
        <w:rPr>
          <w:rFonts w:eastAsia="Times New Roman" w:cs="Times New Roman" w:ascii="Times New Roman" w:hAnsi="Times New Roman"/>
          <w:sz w:val="24"/>
          <w:szCs w:val="24"/>
        </w:rPr>
        <w:t>Į prekių sąrašą neįeina tabako, alkoholio gaminių (įskaitant alų) bei loterijos bilietai, t. y. socialinės kortelės turėtojas negali įsigyti tabako, alkoholio gaminių (įskaitant alų) bei loterijos bilietų;</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3.2. parduoti tik prekes, parduodamas tiekėjo prekybos centre;</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3.3. pagal perkančiosios organizacijos pateiktą Sąrašą savo sąskaita bei lėšomis pagaminti socialines korteles ne vėliau kaip per 7 (septynias) darbo dienas nuo sąrašo gavimo dienos. </w:t>
      </w:r>
      <w:r>
        <w:rPr>
          <w:rFonts w:cs="Times New Roman" w:ascii="Times New Roman" w:hAnsi="Times New Roman"/>
          <w:sz w:val="24"/>
          <w:szCs w:val="24"/>
        </w:rPr>
        <w:t>Jei socialinių kortelių turėtojai jau turi tokias korteles, pinigus tiekėjas jiems perveda į šias korteles ne vėliau kaip per 1 (vieną) darbo dieną nuo apmokėjimo.</w:t>
      </w:r>
      <w:r>
        <w:rPr>
          <w:rFonts w:eastAsia="Times New Roman" w:cs="Times New Roman" w:ascii="Times New Roman" w:hAnsi="Times New Roman"/>
          <w:sz w:val="24"/>
          <w:szCs w:val="24"/>
        </w:rPr>
        <w:t xml:space="preserve"> Sąrašas gali būti papildomas 2 kartus per mėnesį;</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3.4. užtikrinti, kad socialinė kortelė atitiktų socialinės kortelės aprašymą:</w:t>
      </w:r>
    </w:p>
    <w:p>
      <w:pPr>
        <w:pStyle w:val="Normal"/>
        <w:tabs>
          <w:tab w:val="clear" w:pos="1296"/>
          <w:tab w:val="left" w:pos="1134" w:leader="none"/>
        </w:tabs>
        <w:spacing w:lineRule="auto" w:line="240" w:before="0" w:after="0"/>
        <w:ind w:firstLine="709"/>
        <w:jc w:val="both"/>
        <w:rPr>
          <w:rFonts w:ascii="Times New Roman" w:hAnsi="Times New Roman" w:cs="Times New Roman"/>
          <w:sz w:val="24"/>
          <w:szCs w:val="24"/>
        </w:rPr>
      </w:pPr>
      <w:r>
        <w:rPr>
          <w:rFonts w:eastAsia="Times New Roman" w:cs="Times New Roman" w:ascii="Times New Roman" w:hAnsi="Times New Roman"/>
          <w:sz w:val="24"/>
          <w:szCs w:val="24"/>
        </w:rPr>
        <w:t xml:space="preserve">3.4.1. </w:t>
      </w:r>
      <w:r>
        <w:rPr>
          <w:rFonts w:cs="Times New Roman" w:ascii="Times New Roman" w:hAnsi="Times New Roman"/>
          <w:sz w:val="24"/>
          <w:szCs w:val="24"/>
        </w:rPr>
        <w:t>socialinė kortelė – magnetinė atsiskaitomoji priemonė su galiojimo terminu;</w:t>
      </w:r>
    </w:p>
    <w:p>
      <w:pPr>
        <w:pStyle w:val="Normal"/>
        <w:tabs>
          <w:tab w:val="clear" w:pos="1296"/>
          <w:tab w:val="left" w:pos="113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3.4.2. socialinėje kortelėje turi būti nurodyta Pirkėją identifikuojantys duomenys, kortelės galiojimo terminas, numeris;</w:t>
      </w:r>
    </w:p>
    <w:p>
      <w:pPr>
        <w:pStyle w:val="Normal"/>
        <w:tabs>
          <w:tab w:val="clear" w:pos="1296"/>
          <w:tab w:val="left" w:pos="113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3.4.3. parašo juostelėje turi būti kortelės turėtojo parašas;</w:t>
      </w:r>
    </w:p>
    <w:p>
      <w:pPr>
        <w:pStyle w:val="Normal"/>
        <w:tabs>
          <w:tab w:val="clear" w:pos="1296"/>
          <w:tab w:val="left" w:pos="1134" w:leader="none"/>
          <w:tab w:val="left" w:pos="1276"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3.4.4. Socialine kortele galima įsigyti pardavėjo prekybos centre parduodamas prekes. Į prekių sąrašą neįeina, tabako, alkoholio gaminiai (įskaitant alų) bei loterijos bilietai, t.y. socialinės kortelės turėtojas negali įsigyti tabako, alkoholio gaminių (įskaitant alų) bei loterijos bilietų. Jeigu Socialine kortele bandoma įsigyti neleistinų prekių, kasos programinė įranga neleis to padaryti;</w:t>
      </w:r>
    </w:p>
    <w:p>
      <w:pPr>
        <w:pStyle w:val="Normal"/>
        <w:tabs>
          <w:tab w:val="clear" w:pos="1296"/>
          <w:tab w:val="left" w:pos="1134" w:leader="none"/>
          <w:tab w:val="left" w:pos="1276"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3.4.5. naudodamasis  Socialine kortele, kortelės turėtojas negalės viršyti Pirkėjo skirtos ir Pardavėjui pervestos - Prekių įsigijimui pinigų sumos;</w:t>
      </w:r>
    </w:p>
    <w:p>
      <w:pPr>
        <w:pStyle w:val="Normal"/>
        <w:tabs>
          <w:tab w:val="clear" w:pos="1296"/>
          <w:tab w:val="left" w:pos="1134" w:leader="none"/>
          <w:tab w:val="left" w:pos="1701"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3.4.6. socialinę kortelę galima naudoti visuose pardavėjo prekybos tinklo prekybos centruose;</w:t>
      </w:r>
    </w:p>
    <w:p>
      <w:pPr>
        <w:pStyle w:val="Normal"/>
        <w:tabs>
          <w:tab w:val="clear" w:pos="1296"/>
          <w:tab w:val="left" w:pos="113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3.4.7. socialinės kortelės turėtojui galioja visos tuo metu vykstančios akcijos ir nuolaidos;</w:t>
      </w:r>
    </w:p>
    <w:p>
      <w:pPr>
        <w:pStyle w:val="Normal"/>
        <w:tabs>
          <w:tab w:val="clear" w:pos="1296"/>
          <w:tab w:val="left" w:pos="113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3.4.8. įsigijęs prekių, kortelės turėtojas kasos kvite papildomai matys informaciją apie nepanaudotos pinigų sumos likutį;</w:t>
      </w:r>
    </w:p>
    <w:p>
      <w:pPr>
        <w:pStyle w:val="Normal"/>
        <w:tabs>
          <w:tab w:val="clear" w:pos="1296"/>
          <w:tab w:val="left" w:pos="1134" w:leader="none"/>
          <w:tab w:val="left" w:pos="1276"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3.4.9. socialinė kortelė gali būti blokuojama, kai Pirkėjo atstovas to paprašys Pardavėjo sutartyje nustatyta tvarka;</w:t>
      </w:r>
    </w:p>
    <w:p>
      <w:pPr>
        <w:pStyle w:val="Normal"/>
        <w:tabs>
          <w:tab w:val="clear" w:pos="1296"/>
          <w:tab w:val="left" w:pos="1134" w:leader="none"/>
          <w:tab w:val="left" w:pos="1276" w:leader="none"/>
          <w:tab w:val="left" w:pos="1701" w:leader="none"/>
        </w:tabs>
        <w:spacing w:lineRule="auto" w:line="240" w:before="0" w:after="0"/>
        <w:ind w:firstLine="709"/>
        <w:jc w:val="both"/>
        <w:rPr>
          <w:rFonts w:ascii="Times New Roman" w:hAnsi="Times New Roman" w:cs="Times New Roman"/>
          <w:sz w:val="24"/>
          <w:szCs w:val="24"/>
        </w:rPr>
      </w:pPr>
      <w:r>
        <w:rPr>
          <w:rFonts w:eastAsia="Times New Roman" w:cs="Times New Roman" w:ascii="Times New Roman" w:hAnsi="Times New Roman"/>
          <w:sz w:val="24"/>
          <w:szCs w:val="24"/>
        </w:rPr>
        <w:t xml:space="preserve">3.4.10. mokyklinių socialinių kortelių, skirtų mokinio </w:t>
      </w:r>
      <w:r>
        <w:rPr>
          <w:rFonts w:cs="Times New Roman" w:ascii="Times New Roman" w:hAnsi="Times New Roman"/>
          <w:sz w:val="24"/>
          <w:szCs w:val="24"/>
        </w:rPr>
        <w:t>reikmėms skirtoms išmokoms, turėtojai gali įsigyti tik individualias mokymosi priemones;</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3.5. Tiekėjas turi turėti ne mažiau 1 prekybos tašką. Kuris nuo bet kurios Prienų rajono seniūnijos būtų nutolęs ne daugiau kaip 20 km. Prienų rajono savivaldybėje yra 9 seniūnijos: Balbieriškio, Išlaužo, Jiezno, Naujosios Ūtos, Pakuonio, Prienų, Stakliškių, Šilavoto, Veiverių.</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3.6. užtikrinti, kad, atsiskaitant socialine kortele, nebūtų parduodami alkoholiniai gėrimai (įskaitant alų), tabako gaminiai ir loterijos bilietai;</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3.7. užtikrinti, kad socialinės kortelės turėtojas galėtų įsigyti prekes už sąraše nurodytą pinigų sumą;</w:t>
      </w:r>
    </w:p>
    <w:p>
      <w:pPr>
        <w:pStyle w:val="Normal"/>
        <w:spacing w:lineRule="auto" w:line="240" w:before="0" w:after="0"/>
        <w:ind w:firstLine="709"/>
        <w:jc w:val="both"/>
        <w:rPr>
          <w:rFonts w:ascii="Times New Roman" w:hAnsi="Times New Roman" w:eastAsia="Times New Roman" w:cs="Times New Roman"/>
          <w:sz w:val="24"/>
          <w:szCs w:val="24"/>
        </w:rPr>
      </w:pPr>
      <w:r>
        <w:rPr>
          <w:rFonts w:cs="Times New Roman" w:ascii="Times New Roman" w:hAnsi="Times New Roman"/>
          <w:sz w:val="24"/>
          <w:szCs w:val="24"/>
        </w:rPr>
        <w:t xml:space="preserve">3.8. </w:t>
      </w:r>
      <w:r>
        <w:rPr>
          <w:rFonts w:cs="Times New Roman" w:ascii="Times New Roman" w:hAnsi="Times New Roman"/>
          <w:b/>
          <w:sz w:val="24"/>
          <w:szCs w:val="24"/>
        </w:rPr>
        <w:t>sudaryti galimybę socialine kortele apmokėti už komunalines paslaugas, elektros energijos suvartojimą</w:t>
      </w:r>
      <w:r>
        <w:rPr>
          <w:rFonts w:cs="Times New Roman" w:ascii="Times New Roman" w:hAnsi="Times New Roman"/>
          <w:sz w:val="24"/>
          <w:szCs w:val="24"/>
        </w:rPr>
        <w:t>;</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3.9. perkančios organizacijos atstovui pateikti socialines korteles kartu su tiekėjo pasirašytu perdavimo aktu. </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3.10. suteikti socialinės kortelės turėtojui teisę be papildomo apmokėjimo įsigyti prekes tiekėjo prekybos centre už sąraše nurodytą pinigų sumą;</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3.11. </w:t>
      </w:r>
      <w:r>
        <w:rPr>
          <w:rFonts w:cs="Times New Roman" w:ascii="Times New Roman" w:hAnsi="Times New Roman"/>
          <w:sz w:val="24"/>
          <w:szCs w:val="24"/>
        </w:rPr>
        <w:t>užblokuoti socialinę kortelę ne vėliau kaip per 1 val., gavus perkančios organizacijos atstovo pranešimą el. paštu, kad socialinė kortelė sugadinta ar prarasta</w:t>
      </w:r>
      <w:r>
        <w:rPr>
          <w:rFonts w:eastAsia="Times New Roman" w:cs="Times New Roman" w:ascii="Times New Roman" w:hAnsi="Times New Roman"/>
          <w:sz w:val="24"/>
          <w:szCs w:val="24"/>
        </w:rPr>
        <w:t>;</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3.12. perkančiai organizacijai prašant, per 10 kalendorinių dienų pakartotinai neatlygintinai pagaminti socialinę kortelę ir atstatyti blokavimo metu socialinėje kortelėje turėtojui tenkančią pinigų sumą tuo atveju, jei socialinė kortelė yra jos turėtojo sugadinta ar prarasta;</w:t>
      </w:r>
    </w:p>
    <w:p>
      <w:pPr>
        <w:pStyle w:val="Normal"/>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3.13. perkančiai organizacijai prašant, pateikti socialinės kortelės turėtojo pirkimo išklotinę peržiūrėjimui kokioms prekėms išleidžiami pinigai.</w:t>
      </w:r>
    </w:p>
    <w:p>
      <w:pPr>
        <w:pStyle w:val="Normal"/>
        <w:spacing w:lineRule="auto" w:line="240" w:before="0" w:after="0"/>
        <w:ind w:firstLine="709"/>
        <w:jc w:val="both"/>
        <w:rPr>
          <w:rFonts w:ascii="Times New Roman" w:hAnsi="Times New Roman" w:eastAsia="Times New Roman" w:cs="Times New Roman"/>
          <w:sz w:val="24"/>
          <w:szCs w:val="24"/>
          <w:lang w:eastAsia="lt-LT"/>
        </w:rPr>
      </w:pPr>
      <w:r>
        <w:rPr>
          <w:rFonts w:eastAsia="Times New Roman" w:cs="Times New Roman" w:ascii="Times New Roman" w:hAnsi="Times New Roman"/>
          <w:sz w:val="24"/>
          <w:szCs w:val="24"/>
          <w:lang w:eastAsia="lt-LT"/>
        </w:rPr>
        <w:t xml:space="preserve">4. Paslaugų teikimo terminas: Paslaugų pirkimo sutartis sudaroma 36 mėn. nuo Sutarties įsigaliojimo dienos.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5. Atsiskaitant socialine kortele, prekių kaina yra nustatoma pagal tos dienos, kada jos perkamos, kainas, nustatytas parduotuvėje, kurioje jos buvo pirktos, pritaikant teikėjo pasiūlytą nuolaidą (proc.).</w:t>
      </w:r>
    </w:p>
    <w:p>
      <w:pPr>
        <w:pStyle w:val="Normal"/>
        <w:spacing w:before="0" w:after="200"/>
        <w:rPr>
          <w:rFonts w:ascii="Times New Roman" w:hAnsi="Times New Roman" w:cs="Times New Roman"/>
          <w:sz w:val="24"/>
          <w:szCs w:val="24"/>
        </w:rPr>
      </w:pPr>
      <w:r>
        <w:rPr>
          <w:rFonts w:cs="Times New Roman" w:ascii="Times New Roman" w:hAnsi="Times New Roman"/>
          <w:sz w:val="24"/>
          <w:szCs w:val="24"/>
        </w:rPr>
      </w:r>
    </w:p>
    <w:p>
      <w:pPr>
        <w:pStyle w:val="Normal"/>
        <w:spacing w:before="0" w:after="200"/>
        <w:rPr>
          <w:rFonts w:ascii="Times New Roman" w:hAnsi="Times New Roman" w:cs="Times New Roman"/>
          <w:sz w:val="24"/>
          <w:szCs w:val="24"/>
        </w:rPr>
      </w:pPr>
      <w:r>
        <w:rPr>
          <w:rFonts w:cs="Times New Roman" w:ascii="Times New Roman" w:hAnsi="Times New Roman"/>
          <w:sz w:val="24"/>
          <w:szCs w:val="24"/>
        </w:rPr>
      </w:r>
    </w:p>
    <w:p>
      <w:pPr>
        <w:pStyle w:val="Normal"/>
        <w:spacing w:before="0" w:after="200"/>
        <w:jc w:val="center"/>
        <w:rPr>
          <w:rFonts w:ascii="Times New Roman" w:hAnsi="Times New Roman" w:cs="Times New Roman"/>
          <w:sz w:val="24"/>
          <w:szCs w:val="24"/>
        </w:rPr>
      </w:pPr>
      <w:r>
        <w:rPr>
          <w:rFonts w:cs="Arial" w:ascii="Arial" w:hAnsi="Arial"/>
          <w:b/>
          <w:color w:val="auto"/>
          <w:spacing w:val="0"/>
          <w:sz w:val="24"/>
          <w:szCs w:val="24"/>
        </w:rPr>
        <w:t>_______________</w:t>
      </w:r>
    </w:p>
    <w:p>
      <w:pPr>
        <w:pStyle w:val="Normal"/>
        <w:jc w:val="center"/>
        <w:rPr/>
      </w:pPr>
      <w:r>
        <w:rPr/>
      </w:r>
      <w:bookmarkStart w:id="51" w:name="_GoBack"/>
      <w:bookmarkStart w:id="52" w:name="_GoBack"/>
      <w:bookmarkEnd w:id="52"/>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spacing w:lineRule="auto" w:line="240" w:before="0" w:after="0"/>
        <w:ind w:left="6750"/>
        <w:rPr>
          <w:rFonts w:ascii="Arial" w:hAnsi="Arial" w:cs="Arial"/>
          <w:sz w:val="24"/>
          <w:szCs w:val="24"/>
        </w:rPr>
      </w:pPr>
      <w:r>
        <w:rPr>
          <w:rFonts w:eastAsia="Calibri" w:cs="Arial" w:ascii="Arial" w:hAnsi="Arial"/>
          <w:sz w:val="24"/>
          <w:szCs w:val="24"/>
        </w:rPr>
        <w:t>P</w:t>
      </w:r>
      <w:bookmarkStart w:id="53" w:name="_Ref38291496"/>
      <w:bookmarkStart w:id="54" w:name="_Ref38285444"/>
      <w:r>
        <w:rPr>
          <w:rFonts w:eastAsia="Calibri" w:cs="Arial" w:ascii="Arial" w:hAnsi="Arial"/>
          <w:sz w:val="24"/>
          <w:szCs w:val="24"/>
        </w:rPr>
        <w:t>irkimo sąlygų 3 priedas</w:t>
      </w:r>
      <w:bookmarkEnd w:id="53"/>
      <w:bookmarkEnd w:id="54"/>
      <w:r>
        <w:rPr>
          <w:rFonts w:eastAsia="Calibri" w:cs="Arial" w:ascii="Arial" w:hAnsi="Arial"/>
          <w:sz w:val="24"/>
          <w:szCs w:val="24"/>
        </w:rPr>
        <w:t xml:space="preserve"> „Tiekėjų pašalinimo pagrindai“</w:t>
      </w:r>
    </w:p>
    <w:p>
      <w:pPr>
        <w:pStyle w:val="Normal"/>
        <w:spacing w:lineRule="auto" w:line="240" w:before="0" w:after="0"/>
        <w:jc w:val="center"/>
        <w:rPr>
          <w:rFonts w:ascii="Arial" w:hAnsi="Arial" w:cs="Arial"/>
          <w:b/>
          <w:bCs/>
          <w:smallCaps/>
          <w:sz w:val="24"/>
          <w:szCs w:val="24"/>
        </w:rPr>
      </w:pPr>
      <w:r>
        <w:rPr>
          <w:rFonts w:cs="Arial" w:ascii="Arial" w:hAnsi="Arial"/>
          <w:b/>
          <w:bCs/>
          <w:smallCaps/>
          <w:sz w:val="24"/>
          <w:szCs w:val="24"/>
        </w:rPr>
      </w:r>
    </w:p>
    <w:p>
      <w:pPr>
        <w:pStyle w:val="Normal"/>
        <w:spacing w:lineRule="auto" w:line="240"/>
        <w:jc w:val="center"/>
        <w:rPr>
          <w:rFonts w:ascii="Arial" w:hAnsi="Arial" w:cs="Arial"/>
          <w:b/>
          <w:bCs/>
          <w:sz w:val="24"/>
          <w:szCs w:val="24"/>
        </w:rPr>
      </w:pPr>
      <w:r>
        <w:rPr>
          <w:rFonts w:cs="Arial" w:ascii="Arial" w:hAnsi="Arial"/>
          <w:b/>
          <w:bCs/>
          <w:sz w:val="24"/>
          <w:szCs w:val="24"/>
        </w:rPr>
        <w:t xml:space="preserve">TIEKĖJŲ PAŠALINIMO PAGRINDAI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2. Pašalinimo pagrindai taikomi tiekėjui (kai pasiūlymą teikia ūkio subjektų grupė – visiems tos grupės nariams) ir ūkio subjektams, kurių pajėgumais tiekėjas remiasi. Pašalinimo pagrindai netaikomi subtiekėjams, subteikėjams ir subrangovams, kurių pajėgumais tiekėjas nesiremia.</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6. </w:t>
      </w:r>
      <w:r>
        <w:rPr>
          <w:rFonts w:cs="Arial" w:ascii="Verdana" w:hAnsi="Verdana"/>
          <w:color w:val="000000"/>
          <w:sz w:val="22"/>
          <w:szCs w:val="22"/>
        </w:rPr>
        <w:t xml:space="preserve">Nuo </w:t>
      </w:r>
      <w:r>
        <w:rPr>
          <w:rFonts w:cs="Times New Roman" w:ascii="Verdana" w:hAnsi="Verdana"/>
          <w:color w:val="000000"/>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BodyText"/>
        <w:spacing w:lineRule="auto" w:line="240" w:before="0" w:after="0"/>
        <w:ind w:firstLine="720"/>
        <w:rPr>
          <w:rFonts w:ascii="Arial" w:hAnsi="Arial" w:cs="Arial"/>
          <w:sz w:val="24"/>
          <w:szCs w:val="24"/>
        </w:rPr>
      </w:pPr>
      <w:r>
        <w:rPr>
          <w:rFonts w:cs="Arial" w:ascii="Arial" w:hAnsi="Arial"/>
          <w:sz w:val="24"/>
          <w:szCs w:val="24"/>
        </w:rPr>
        <w:t>7.1.</w:t>
        <w:tab/>
        <w:t>priesaikos deklaracija;</w:t>
      </w:r>
    </w:p>
    <w:p>
      <w:pPr>
        <w:pStyle w:val="BodyText"/>
        <w:spacing w:lineRule="auto" w:line="240" w:before="0" w:after="0"/>
        <w:ind w:firstLine="720"/>
        <w:rPr>
          <w:rFonts w:ascii="Arial" w:hAnsi="Arial" w:cs="Arial"/>
          <w:sz w:val="24"/>
          <w:szCs w:val="24"/>
        </w:rPr>
      </w:pPr>
      <w:r>
        <w:rPr>
          <w:rFonts w:cs="Arial" w:ascii="Arial" w:hAnsi="Arial"/>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BodyText"/>
        <w:spacing w:lineRule="auto" w:line="240" w:before="0" w:after="0"/>
        <w:ind w:firstLine="720"/>
        <w:rPr>
          <w:rFonts w:ascii="Arial" w:hAnsi="Arial" w:cs="Arial"/>
          <w:sz w:val="24"/>
          <w:szCs w:val="24"/>
        </w:rPr>
      </w:pPr>
      <w:r>
        <w:rPr>
          <w:rFonts w:cs="Arial" w:ascii="Arial" w:hAnsi="Arial"/>
          <w:sz w:val="24"/>
          <w:szCs w:val="24"/>
        </w:rPr>
      </w:r>
    </w:p>
    <w:tbl>
      <w:tblPr>
        <w:tblW w:w="998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26"/>
        <w:gridCol w:w="4040"/>
        <w:gridCol w:w="2888"/>
        <w:gridCol w:w="2430"/>
      </w:tblGrid>
      <w:tr>
        <w:trPr/>
        <w:tc>
          <w:tcPr>
            <w:tcW w:w="626"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Arial" w:hAnsi="Arial" w:cs="Arial"/>
                <w:b/>
                <w:bCs/>
                <w:sz w:val="24"/>
                <w:szCs w:val="24"/>
              </w:rPr>
            </w:pPr>
            <w:r>
              <w:rPr>
                <w:rFonts w:cs="Arial" w:ascii="Arial" w:hAnsi="Arial"/>
                <w:b/>
                <w:bCs/>
                <w:sz w:val="24"/>
                <w:szCs w:val="24"/>
              </w:rPr>
              <w:t>Eil. Nr.</w:t>
            </w:r>
          </w:p>
        </w:tc>
        <w:tc>
          <w:tcPr>
            <w:tcW w:w="404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cs="Arial"/>
                <w:bCs/>
                <w:sz w:val="24"/>
                <w:szCs w:val="24"/>
                <w:lang w:eastAsia="en-US"/>
              </w:rPr>
            </w:pPr>
            <w:r>
              <w:rPr>
                <w:rFonts w:cs="Arial" w:ascii="Arial" w:hAnsi="Arial"/>
                <w:b/>
                <w:sz w:val="24"/>
                <w:szCs w:val="24"/>
              </w:rPr>
              <w:t>Tiekėjo pašalinimo pagrindai</w:t>
            </w:r>
          </w:p>
        </w:tc>
        <w:tc>
          <w:tcPr>
            <w:tcW w:w="288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eastAsia="Yu Mincho" w:cs="Arial"/>
                <w:b/>
                <w:bCs/>
                <w:sz w:val="24"/>
                <w:szCs w:val="24"/>
              </w:rPr>
            </w:pPr>
            <w:r>
              <w:rPr>
                <w:rFonts w:eastAsia="Yu Mincho" w:cs="Arial" w:ascii="Arial" w:hAnsi="Arial"/>
                <w:b/>
                <w:bCs/>
                <w:sz w:val="24"/>
                <w:szCs w:val="24"/>
              </w:rPr>
              <w:t>VPĮ straipsnis,  dalis, punktas bei EBVPD formos dalis pildymui</w:t>
            </w:r>
          </w:p>
        </w:tc>
        <w:tc>
          <w:tcPr>
            <w:tcW w:w="243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cs="Arial"/>
                <w:bCs/>
                <w:iCs/>
                <w:sz w:val="24"/>
                <w:szCs w:val="24"/>
                <w:lang w:eastAsia="en-US"/>
              </w:rPr>
            </w:pPr>
            <w:r>
              <w:rPr>
                <w:rFonts w:cs="Arial" w:ascii="Arial" w:hAnsi="Arial"/>
                <w:b/>
                <w:sz w:val="24"/>
                <w:szCs w:val="24"/>
              </w:rPr>
              <w:t>Pašalinimo pagrindų nebuvimą įrodantys dokumentai</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lang w:eastAsia="en-US"/>
              </w:rPr>
            </w:pPr>
            <w:r>
              <w:rPr>
                <w:rFonts w:cs="Arial" w:ascii="Arial" w:hAnsi="Arial"/>
                <w:sz w:val="24"/>
                <w:szCs w:val="24"/>
                <w:lang w:eastAsia="en-US"/>
              </w:rPr>
              <w:t>Tiekėjas arba jo atsakingas asmuo, nurodytas VPĮ 46 straipsnio 2 dalies 2 punkte, nuteistas už šią nusikalstamą veiką:</w:t>
            </w:r>
          </w:p>
          <w:p>
            <w:pPr>
              <w:pStyle w:val="NoSpacing"/>
              <w:jc w:val="both"/>
              <w:rPr>
                <w:rFonts w:ascii="Arial" w:hAnsi="Arial" w:cs="Arial"/>
                <w:b/>
                <w:bCs/>
                <w:sz w:val="24"/>
                <w:szCs w:val="24"/>
                <w:lang w:eastAsia="en-US"/>
              </w:rPr>
            </w:pPr>
            <w:r>
              <w:rPr>
                <w:rFonts w:cs="Arial" w:ascii="Arial" w:hAnsi="Arial"/>
                <w:bCs/>
                <w:sz w:val="24"/>
                <w:szCs w:val="24"/>
                <w:lang w:eastAsia="en-US"/>
              </w:rPr>
              <w:t>1) dalyvavimą nusikalstamame susivienijime, jo organizavimą ar vadovavimą jam;</w:t>
            </w:r>
          </w:p>
          <w:p>
            <w:pPr>
              <w:pStyle w:val="NoSpacing"/>
              <w:jc w:val="both"/>
              <w:rPr>
                <w:rFonts w:ascii="Arial" w:hAnsi="Arial" w:cs="Arial"/>
                <w:b/>
                <w:bCs/>
                <w:sz w:val="24"/>
                <w:szCs w:val="24"/>
                <w:lang w:eastAsia="en-US"/>
              </w:rPr>
            </w:pPr>
            <w:r>
              <w:rPr>
                <w:rFonts w:cs="Arial" w:ascii="Arial" w:hAnsi="Arial"/>
                <w:bCs/>
                <w:sz w:val="24"/>
                <w:szCs w:val="24"/>
                <w:lang w:eastAsia="en-US"/>
              </w:rPr>
              <w:t>2) kyšininkavimą, prekybą poveikiu, papirkimą;</w:t>
            </w:r>
          </w:p>
          <w:p>
            <w:pPr>
              <w:pStyle w:val="NoSpacing"/>
              <w:jc w:val="both"/>
              <w:rPr>
                <w:rFonts w:ascii="Arial" w:hAnsi="Arial" w:cs="Arial"/>
                <w:b/>
                <w:bCs/>
                <w:sz w:val="24"/>
                <w:szCs w:val="24"/>
                <w:lang w:eastAsia="en-US"/>
              </w:rPr>
            </w:pPr>
            <w:r>
              <w:rPr>
                <w:rFonts w:cs="Arial" w:ascii="Arial" w:hAnsi="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b/>
                <w:bCs/>
                <w:sz w:val="24"/>
                <w:szCs w:val="24"/>
                <w:lang w:eastAsia="en-US"/>
              </w:rPr>
            </w:pPr>
            <w:r>
              <w:rPr>
                <w:rFonts w:cs="Arial" w:ascii="Arial" w:hAnsi="Arial"/>
                <w:bCs/>
                <w:sz w:val="24"/>
                <w:szCs w:val="24"/>
                <w:lang w:eastAsia="en-US"/>
              </w:rPr>
              <w:t>4) nusikalstamą bankrotą;</w:t>
            </w:r>
          </w:p>
          <w:p>
            <w:pPr>
              <w:pStyle w:val="NoSpacing"/>
              <w:jc w:val="both"/>
              <w:rPr>
                <w:rFonts w:ascii="Arial" w:hAnsi="Arial" w:cs="Arial"/>
                <w:b/>
                <w:bCs/>
                <w:sz w:val="24"/>
                <w:szCs w:val="24"/>
                <w:lang w:eastAsia="en-US"/>
              </w:rPr>
            </w:pPr>
            <w:r>
              <w:rPr>
                <w:rFonts w:cs="Arial" w:ascii="Arial" w:hAnsi="Arial"/>
                <w:bCs/>
                <w:sz w:val="24"/>
                <w:szCs w:val="24"/>
                <w:lang w:eastAsia="en-US"/>
              </w:rPr>
              <w:t>5) teroristinį ir su teroristine veikla susijusį nusikaltimą;</w:t>
            </w:r>
          </w:p>
          <w:p>
            <w:pPr>
              <w:pStyle w:val="NoSpacing"/>
              <w:jc w:val="both"/>
              <w:rPr>
                <w:rFonts w:ascii="Arial" w:hAnsi="Arial" w:cs="Arial"/>
                <w:b/>
                <w:bCs/>
                <w:sz w:val="24"/>
                <w:szCs w:val="24"/>
                <w:lang w:eastAsia="en-US"/>
              </w:rPr>
            </w:pPr>
            <w:r>
              <w:rPr>
                <w:rFonts w:cs="Arial" w:ascii="Arial" w:hAnsi="Arial"/>
                <w:bCs/>
                <w:sz w:val="24"/>
                <w:szCs w:val="24"/>
                <w:lang w:eastAsia="en-US"/>
              </w:rPr>
              <w:t>6) nusikalstamu būdu gauto turto legalizavimą;</w:t>
            </w:r>
          </w:p>
          <w:p>
            <w:pPr>
              <w:pStyle w:val="NoSpacing"/>
              <w:jc w:val="both"/>
              <w:rPr>
                <w:rFonts w:ascii="Arial" w:hAnsi="Arial" w:cs="Arial"/>
                <w:b/>
                <w:bCs/>
                <w:sz w:val="24"/>
                <w:szCs w:val="24"/>
                <w:lang w:eastAsia="en-US"/>
              </w:rPr>
            </w:pPr>
            <w:r>
              <w:rPr>
                <w:rFonts w:cs="Arial" w:ascii="Arial" w:hAnsi="Arial"/>
                <w:bCs/>
                <w:sz w:val="24"/>
                <w:szCs w:val="24"/>
                <w:lang w:eastAsia="en-US"/>
              </w:rPr>
              <w:t>7) prekybą žmonėmis, vaiko pirkimą arba pardavimą;</w:t>
            </w:r>
          </w:p>
          <w:p>
            <w:pPr>
              <w:pStyle w:val="NoSpacing"/>
              <w:jc w:val="both"/>
              <w:rPr>
                <w:rFonts w:ascii="Arial" w:hAnsi="Arial" w:cs="Arial"/>
                <w:b/>
                <w:bCs/>
                <w:sz w:val="24"/>
                <w:szCs w:val="24"/>
                <w:lang w:eastAsia="en-US"/>
              </w:rPr>
            </w:pPr>
            <w:r>
              <w:rPr>
                <w:rFonts w:cs="Arial" w:ascii="Arial" w:hAnsi="Arial"/>
                <w:bCs/>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b/>
                <w:bCs/>
                <w:sz w:val="24"/>
                <w:szCs w:val="24"/>
                <w:lang w:eastAsia="en-US"/>
              </w:rPr>
            </w:pPr>
            <w:r>
              <w:rPr>
                <w:rFonts w:cs="Arial" w:ascii="Arial" w:hAnsi="Arial"/>
                <w:b/>
                <w:bCs/>
                <w:sz w:val="24"/>
                <w:szCs w:val="24"/>
                <w:lang w:eastAsia="en-US"/>
              </w:rPr>
            </w:r>
          </w:p>
          <w:p>
            <w:pPr>
              <w:pStyle w:val="NoSpacing"/>
              <w:jc w:val="both"/>
              <w:rPr>
                <w:rFonts w:ascii="Arial" w:hAnsi="Arial" w:cs="Arial"/>
                <w:b/>
                <w:bCs/>
                <w:sz w:val="24"/>
                <w:szCs w:val="24"/>
                <w:lang w:eastAsia="en-US"/>
              </w:rPr>
            </w:pPr>
            <w:r>
              <w:rPr>
                <w:rFonts w:cs="Arial" w:ascii="Arial" w:hAnsi="Arial"/>
                <w:bCs/>
                <w:sz w:val="24"/>
                <w:szCs w:val="24"/>
                <w:lang w:eastAsia="en-US"/>
              </w:rPr>
              <w:t>Laikoma, kad tiekėjas arba jo atsakingas asmuo nuteistas už aukščiau nurodytą nusikalstamą veiką, kai dėl:</w:t>
            </w:r>
          </w:p>
          <w:p>
            <w:pPr>
              <w:pStyle w:val="NoSpacing"/>
              <w:jc w:val="both"/>
              <w:rPr>
                <w:rFonts w:ascii="Arial" w:hAnsi="Arial" w:cs="Arial"/>
                <w:bCs/>
                <w:sz w:val="24"/>
                <w:szCs w:val="24"/>
                <w:lang w:eastAsia="en-US"/>
              </w:rPr>
            </w:pPr>
            <w:r>
              <w:rPr>
                <w:rFonts w:cs="Arial" w:ascii="Arial" w:hAnsi="Arial"/>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sz w:val="24"/>
                <w:szCs w:val="24"/>
              </w:rPr>
            </w:pPr>
            <w:r>
              <w:rPr>
                <w:rFonts w:cs="Arial" w:ascii="Arial" w:hAnsi="Arial"/>
                <w:sz w:val="24"/>
                <w:szCs w:val="24"/>
              </w:rPr>
              <w:t>2) tiekėjo, kuris yra juridinis asmuo, kita organizacija ar jos </w:t>
            </w:r>
            <w:r>
              <w:rPr>
                <w:rFonts w:cs="Arial" w:ascii="Arial" w:hAnsi="Arial"/>
                <w:b/>
                <w:bCs/>
                <w:sz w:val="24"/>
                <w:szCs w:val="24"/>
              </w:rPr>
              <w:t>struktūrinis</w:t>
            </w:r>
            <w:r>
              <w:rPr>
                <w:rFonts w:cs="Arial" w:ascii="Arial" w:hAnsi="Arial"/>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cs="Arial" w:ascii="Arial" w:hAnsi="Arial"/>
                <w:b/>
                <w:bCs/>
                <w:sz w:val="24"/>
                <w:szCs w:val="24"/>
              </w:rPr>
              <w:t>struktūrinis</w:t>
            </w:r>
            <w:r>
              <w:rPr>
                <w:rFonts w:cs="Arial" w:ascii="Arial" w:hAnsi="Arial"/>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b/>
                <w:bCs/>
                <w:sz w:val="24"/>
                <w:szCs w:val="24"/>
                <w:lang w:eastAsia="en-US"/>
              </w:rPr>
            </w:pPr>
            <w:r>
              <w:rPr>
                <w:rFonts w:cs="Arial" w:ascii="Arial" w:hAnsi="Arial"/>
                <w:bCs/>
                <w:sz w:val="24"/>
                <w:szCs w:val="24"/>
                <w:lang w:eastAsia="en-US"/>
              </w:rPr>
              <w:t xml:space="preserve">3) tiekėjo, kuris yra juridinis asmuo, kita organizacija ar jos </w:t>
            </w:r>
            <w:r>
              <w:rPr>
                <w:rFonts w:cs="Arial" w:ascii="Arial" w:hAnsi="Arial"/>
                <w:b/>
                <w:sz w:val="24"/>
                <w:szCs w:val="24"/>
                <w:lang w:eastAsia="en-US"/>
              </w:rPr>
              <w:t>struktūrinis</w:t>
            </w:r>
            <w:r>
              <w:rPr>
                <w:rFonts w:cs="Arial" w:ascii="Arial" w:hAnsi="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lang w:eastAsia="en-US"/>
              </w:rPr>
            </w:pPr>
            <w:r>
              <w:rPr>
                <w:rFonts w:eastAsia="Yu Mincho" w:cs="Arial" w:ascii="Arial" w:hAnsi="Arial"/>
                <w:b/>
                <w:bCs/>
                <w:sz w:val="24"/>
                <w:szCs w:val="24"/>
                <w:lang w:eastAsia="en-US"/>
              </w:rPr>
              <w:t>VPĮ 46 straipsnio 1 dalis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t>EBVPD III dalies A1-A6 punktai</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t>EBVPD III dalies D1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reikalaujama: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išrašo iš teismo sprendimo arba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Informatikos ir ryšių departamento prie Vidaus reikalų ministerijos pažymos, arba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valstybės įmonės Registrų centro Lietuvos Respublikos Vyriausybės nustatyta tvarka išduoto dokumento, patvirtinančio jungtinius kompetentingų institucijų tvarkomus duomenis.</w:t>
            </w:r>
          </w:p>
          <w:p>
            <w:pPr>
              <w:pStyle w:val="NoSpacing"/>
              <w:tabs>
                <w:tab w:val="clear" w:pos="1296"/>
                <w:tab w:val="left" w:pos="188" w:leader="none"/>
              </w:tabs>
              <w:ind w:left="-16"/>
              <w:jc w:val="both"/>
              <w:rPr>
                <w:rFonts w:ascii="Arial" w:hAnsi="Arial" w:cs="Arial"/>
                <w:sz w:val="24"/>
                <w:szCs w:val="24"/>
                <w:lang w:eastAsia="en-US"/>
              </w:rPr>
            </w:pPr>
            <w:r>
              <w:rPr>
                <w:rFonts w:cs="Arial" w:ascii="Arial" w:hAnsi="Arial"/>
                <w:sz w:val="24"/>
                <w:szCs w:val="24"/>
                <w:lang w:eastAsia="en-US"/>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207" w:leader="none"/>
              </w:tabs>
              <w:suppressAutoHyphens w:val="false"/>
              <w:ind w:firstLine="16" w:left="-16"/>
              <w:jc w:val="both"/>
              <w:rPr>
                <w:rFonts w:ascii="Arial" w:hAnsi="Arial" w:cs="Arial"/>
                <w:sz w:val="24"/>
                <w:szCs w:val="24"/>
              </w:rPr>
            </w:pPr>
            <w:r>
              <w:rPr>
                <w:rFonts w:cs="Arial" w:ascii="Arial" w:hAnsi="Arial"/>
                <w:sz w:val="24"/>
                <w:szCs w:val="24"/>
              </w:rPr>
              <w:t>atitinkamos užsienio šalies institucijos dokumento</w:t>
            </w:r>
            <w:r>
              <w:rPr>
                <w:rStyle w:val="FootnoteReference"/>
                <w:rFonts w:cs="Arial" w:ascii="Arial" w:hAnsi="Arial"/>
                <w:sz w:val="24"/>
                <w:szCs w:val="24"/>
              </w:rPr>
              <w:footnoteReference w:id="2"/>
            </w:r>
            <w:r>
              <w:rPr>
                <w:rFonts w:cs="Arial" w:ascii="Arial" w:hAnsi="Arial"/>
                <w:sz w:val="24"/>
                <w:szCs w:val="24"/>
              </w:rPr>
              <w:t>.</w:t>
            </w:r>
          </w:p>
          <w:p>
            <w:pPr>
              <w:pStyle w:val="NoSpacing"/>
              <w:jc w:val="both"/>
              <w:rPr>
                <w:rFonts w:ascii="Arial" w:hAnsi="Arial" w:cs="Arial"/>
                <w:color w:val="7030A0"/>
                <w:sz w:val="24"/>
                <w:szCs w:val="24"/>
              </w:rPr>
            </w:pPr>
            <w:r>
              <w:rPr>
                <w:rFonts w:cs="Arial" w:ascii="Arial" w:hAnsi="Arial"/>
                <w:sz w:val="24"/>
                <w:szCs w:val="24"/>
              </w:rPr>
              <w:t xml:space="preserve">Nurodyti dokumentai turi būti išduoti ne anksčiau kaip 180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180 dienų, jas skaičiuojant atgal nuo 2022-10-14.</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Cs/>
                <w:sz w:val="24"/>
                <w:szCs w:val="24"/>
              </w:rPr>
            </w:pPr>
            <w:r>
              <w:rPr>
                <w:rFonts w:cs="Arial" w:ascii="Arial" w:hAnsi="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4"/>
                <w:szCs w:val="24"/>
              </w:rPr>
            </w:pPr>
            <w:r>
              <w:rPr>
                <w:rFonts w:cs="Arial" w:ascii="Arial" w:hAnsi="Arial"/>
                <w:b/>
                <w:b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lang w:eastAsia="en-US"/>
              </w:rPr>
            </w:pPr>
            <w:r>
              <w:rPr>
                <w:rFonts w:cs="Arial" w:ascii="Arial" w:hAnsi="Arial"/>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Arial"/>
                <w:b/>
                <w:bCs/>
                <w:sz w:val="24"/>
                <w:szCs w:val="24"/>
                <w:lang w:eastAsia="en-US"/>
              </w:rPr>
            </w:pPr>
            <w:r>
              <w:rPr>
                <w:rFonts w:cs="Arial" w:ascii="Arial" w:hAnsi="Arial"/>
                <w:b/>
                <w:bCs/>
                <w:sz w:val="24"/>
                <w:szCs w:val="24"/>
                <w:lang w:eastAsia="en-US"/>
              </w:rPr>
            </w:r>
          </w:p>
          <w:p>
            <w:pPr>
              <w:pStyle w:val="NoSpacing"/>
              <w:jc w:val="both"/>
              <w:rPr>
                <w:rFonts w:ascii="Arial" w:hAnsi="Arial" w:cs="Arial"/>
                <w:b/>
                <w:bCs/>
                <w:sz w:val="24"/>
                <w:szCs w:val="24"/>
                <w:lang w:eastAsia="en-US"/>
              </w:rPr>
            </w:pPr>
            <w:r>
              <w:rPr>
                <w:rFonts w:cs="Arial" w:ascii="Arial" w:hAnsi="Arial"/>
                <w:bCs/>
                <w:sz w:val="24"/>
                <w:szCs w:val="24"/>
                <w:lang w:eastAsia="en-US"/>
              </w:rPr>
              <w:t>Laikoma, kad tiekėjas nuteistas už aukščiau nurodytą nusikalstamą veiką, kai dėl:</w:t>
            </w:r>
          </w:p>
          <w:p>
            <w:pPr>
              <w:pStyle w:val="NoSpacing"/>
              <w:jc w:val="both"/>
              <w:rPr>
                <w:rFonts w:ascii="Arial" w:hAnsi="Arial" w:cs="Arial"/>
                <w:bCs/>
                <w:sz w:val="24"/>
                <w:szCs w:val="24"/>
                <w:lang w:eastAsia="en-US"/>
              </w:rPr>
            </w:pPr>
            <w:r>
              <w:rPr>
                <w:rFonts w:cs="Arial" w:ascii="Arial" w:hAnsi="Arial"/>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bCs/>
                <w:sz w:val="24"/>
                <w:szCs w:val="24"/>
                <w:lang w:eastAsia="en-US"/>
              </w:rPr>
            </w:pPr>
            <w:r>
              <w:rPr>
                <w:rFonts w:cs="Arial" w:ascii="Arial" w:hAnsi="Arial"/>
                <w:bCs/>
                <w:sz w:val="24"/>
                <w:szCs w:val="24"/>
                <w:lang w:eastAsia="en-US"/>
              </w:rPr>
              <w:t xml:space="preserve">2) tiekėjo, kuris yra juridinis asmuo, kita organizacija ar jos </w:t>
            </w:r>
            <w:r>
              <w:rPr>
                <w:rFonts w:cs="Arial" w:ascii="Arial" w:hAnsi="Arial"/>
                <w:b/>
                <w:sz w:val="24"/>
                <w:szCs w:val="24"/>
                <w:lang w:eastAsia="en-US"/>
              </w:rPr>
              <w:t>struktūrinis</w:t>
            </w:r>
            <w:r>
              <w:rPr>
                <w:rFonts w:cs="Arial" w:ascii="Arial" w:hAnsi="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Arial" w:hAnsi="Arial" w:cs="Arial"/>
                <w:b/>
                <w:bCs/>
                <w:sz w:val="24"/>
                <w:szCs w:val="24"/>
                <w:lang w:eastAsia="en-US"/>
              </w:rPr>
            </w:pPr>
            <w:r>
              <w:rPr>
                <w:rFonts w:cs="Arial" w:ascii="Arial" w:hAnsi="Arial"/>
                <w:bCs/>
                <w:sz w:val="24"/>
                <w:szCs w:val="24"/>
                <w:lang w:eastAsia="en-US"/>
              </w:rPr>
              <w:t>Tačiau ši nuostata netaikoma, jeigu:</w:t>
            </w:r>
          </w:p>
          <w:p>
            <w:pPr>
              <w:pStyle w:val="NoSpacing"/>
              <w:jc w:val="both"/>
              <w:rPr>
                <w:rFonts w:ascii="Arial" w:hAnsi="Arial" w:cs="Arial"/>
                <w:b/>
                <w:bCs/>
                <w:sz w:val="24"/>
                <w:szCs w:val="24"/>
                <w:lang w:eastAsia="en-US"/>
              </w:rPr>
            </w:pPr>
            <w:r>
              <w:rPr>
                <w:rFonts w:cs="Arial" w:ascii="Arial" w:hAnsi="Arial"/>
                <w:bCs/>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b/>
                <w:bCs/>
                <w:sz w:val="24"/>
                <w:szCs w:val="24"/>
                <w:lang w:eastAsia="en-US"/>
              </w:rPr>
            </w:pPr>
            <w:r>
              <w:rPr>
                <w:rFonts w:cs="Arial" w:ascii="Arial" w:hAnsi="Arial"/>
                <w:bCs/>
                <w:sz w:val="24"/>
                <w:szCs w:val="24"/>
                <w:lang w:eastAsia="en-US"/>
              </w:rPr>
              <w:t>2) įsiskolinimo suma neviršija 50 Eur (penkiasdešimt eurų);</w:t>
            </w:r>
          </w:p>
          <w:p>
            <w:pPr>
              <w:pStyle w:val="NoSpacing"/>
              <w:jc w:val="both"/>
              <w:rPr>
                <w:rFonts w:ascii="Arial" w:hAnsi="Arial" w:cs="Arial"/>
                <w:b/>
                <w:bCs/>
                <w:sz w:val="24"/>
                <w:szCs w:val="24"/>
                <w:lang w:eastAsia="en-US"/>
              </w:rPr>
            </w:pPr>
            <w:r>
              <w:rPr>
                <w:rFonts w:cs="Arial" w:ascii="Arial" w:hAnsi="Arial"/>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3 dalis</w:t>
            </w:r>
          </w:p>
          <w:p>
            <w:pPr>
              <w:pStyle w:val="NoSpacing"/>
              <w:jc w:val="both"/>
              <w:rPr>
                <w:rFonts w:ascii="Arial" w:hAnsi="Arial" w:eastAsia="Arial" w:cs="Arial"/>
                <w:sz w:val="24"/>
                <w:szCs w:val="24"/>
              </w:rPr>
            </w:pPr>
            <w:r>
              <w:rPr>
                <w:rFonts w:eastAsia="Arial" w:cs="Arial" w:ascii="Arial" w:hAnsi="Arial"/>
                <w:sz w:val="24"/>
                <w:szCs w:val="24"/>
              </w:rPr>
            </w:r>
          </w:p>
          <w:p>
            <w:pPr>
              <w:pStyle w:val="NoSpacing"/>
              <w:jc w:val="both"/>
              <w:rPr>
                <w:rFonts w:ascii="Arial" w:hAnsi="Arial" w:eastAsia="Yu Mincho" w:cs="Arial"/>
                <w:sz w:val="24"/>
                <w:szCs w:val="24"/>
              </w:rPr>
            </w:pPr>
            <w:r>
              <w:rPr>
                <w:rFonts w:eastAsia="Arial" w:cs="Arial" w:ascii="Arial" w:hAnsi="Arial"/>
                <w:sz w:val="24"/>
                <w:szCs w:val="24"/>
              </w:rPr>
              <w:t>EBVPD III dalies B1 ir B2 punktai</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1) Dėl įsipareigojimų, susijusių su mokesčių mokėjimu, įvykdymo i</w:t>
            </w:r>
            <w:r>
              <w:rPr>
                <w:rFonts w:cs="Arial" w:ascii="Arial" w:hAnsi="Arial"/>
                <w:sz w:val="24"/>
                <w:szCs w:val="24"/>
                <w:lang w:eastAsia="en-US"/>
              </w:rPr>
              <w:t xml:space="preserve">š Lietuvoje įsteigtų subjektų </w:t>
            </w:r>
            <w:r>
              <w:rPr>
                <w:rFonts w:cs="Arial" w:ascii="Arial" w:hAnsi="Arial"/>
                <w:sz w:val="24"/>
                <w:szCs w:val="24"/>
              </w:rPr>
              <w:t>prašoma:</w:t>
            </w:r>
          </w:p>
          <w:p>
            <w:pPr>
              <w:pStyle w:val="NoSpacing"/>
              <w:tabs>
                <w:tab w:val="clear" w:pos="1296"/>
                <w:tab w:val="left" w:pos="188" w:leader="none"/>
              </w:tabs>
              <w:ind w:hanging="16"/>
              <w:jc w:val="both"/>
              <w:rPr>
                <w:rFonts w:ascii="Arial" w:hAnsi="Arial" w:cs="Arial"/>
                <w:b/>
                <w:bCs/>
                <w:sz w:val="24"/>
                <w:szCs w:val="24"/>
              </w:rPr>
            </w:pPr>
            <w:r>
              <w:rPr>
                <w:rFonts w:cs="Arial" w:ascii="Arial" w:hAnsi="Arial"/>
                <w:b/>
                <w:bCs/>
                <w:sz w:val="24"/>
                <w:szCs w:val="24"/>
              </w:rPr>
            </w:r>
          </w:p>
          <w:p>
            <w:pPr>
              <w:pStyle w:val="NoSpacing"/>
              <w:numPr>
                <w:ilvl w:val="0"/>
                <w:numId w:val="11"/>
              </w:numPr>
              <w:tabs>
                <w:tab w:val="clear" w:pos="1296"/>
                <w:tab w:val="left" w:pos="188" w:leader="none"/>
              </w:tabs>
              <w:suppressAutoHyphens w:val="false"/>
              <w:ind w:hanging="16" w:left="0"/>
              <w:jc w:val="both"/>
              <w:rPr>
                <w:rFonts w:ascii="Arial" w:hAnsi="Arial" w:cs="Arial"/>
                <w:sz w:val="24"/>
                <w:szCs w:val="24"/>
              </w:rPr>
            </w:pPr>
            <w:r>
              <w:rPr>
                <w:rFonts w:cs="Arial" w:ascii="Arial" w:hAnsi="Arial"/>
                <w:sz w:val="24"/>
                <w:szCs w:val="24"/>
              </w:rPr>
              <w:t>išrašo iš teismo sprendimo (jei toks yra) arba Valstybinės mokesčių inspekcijos prie Lietuvos Respublikos finansų ministerijos išduoto dokumento,</w:t>
            </w:r>
          </w:p>
          <w:p>
            <w:pPr>
              <w:pStyle w:val="NoSpacing"/>
              <w:numPr>
                <w:ilvl w:val="0"/>
                <w:numId w:val="10"/>
              </w:numPr>
              <w:tabs>
                <w:tab w:val="clear" w:pos="1296"/>
                <w:tab w:val="left" w:pos="188" w:leader="none"/>
              </w:tabs>
              <w:suppressAutoHyphens w:val="false"/>
              <w:ind w:hanging="16" w:left="0"/>
              <w:jc w:val="both"/>
              <w:rPr>
                <w:rFonts w:ascii="Arial" w:hAnsi="Arial" w:cs="Arial"/>
                <w:sz w:val="24"/>
                <w:szCs w:val="24"/>
              </w:rPr>
            </w:pPr>
            <w:r>
              <w:rPr>
                <w:rFonts w:cs="Arial" w:ascii="Arial" w:hAnsi="Arial"/>
                <w:sz w:val="24"/>
                <w:szCs w:val="24"/>
              </w:rPr>
              <w:t>arba valstybės įmonės Registrų centro Lietuvos Respublikos Vyriausybės nustatyta tvarka išduoto dokumento, patvirtinančio jungtinius kompetentingų institucijų tvarkomus duomenis.</w:t>
            </w:r>
          </w:p>
          <w:p>
            <w:pPr>
              <w:pStyle w:val="NoSpacing"/>
              <w:tabs>
                <w:tab w:val="clear" w:pos="1296"/>
                <w:tab w:val="left" w:pos="188" w:leader="none"/>
              </w:tabs>
              <w:ind w:hanging="16"/>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179" w:leader="none"/>
              </w:tabs>
              <w:suppressAutoHyphens w:val="false"/>
              <w:ind w:hanging="0" w:left="-16"/>
              <w:jc w:val="both"/>
              <w:rPr>
                <w:rFonts w:ascii="Arial" w:hAnsi="Arial" w:cs="Arial"/>
                <w:b/>
                <w:bCs/>
                <w:sz w:val="24"/>
                <w:szCs w:val="24"/>
              </w:rPr>
            </w:pPr>
            <w:r>
              <w:rPr>
                <w:rFonts w:cs="Arial" w:ascii="Arial" w:hAnsi="Arial"/>
                <w:sz w:val="24"/>
                <w:szCs w:val="24"/>
              </w:rPr>
              <w:t>atitinkamos užsienio šalies institucijos dokumento</w:t>
            </w:r>
            <w:r>
              <w:rPr>
                <w:rStyle w:val="FootnoteReference"/>
                <w:rFonts w:cs="Arial" w:ascii="Arial" w:hAnsi="Arial"/>
                <w:sz w:val="24"/>
                <w:szCs w:val="24"/>
              </w:rPr>
              <w:footnoteReference w:id="3"/>
            </w:r>
            <w:r>
              <w:rPr>
                <w:rFonts w:cs="Arial" w:ascii="Arial" w:hAnsi="Arial"/>
                <w:sz w:val="24"/>
                <w:szCs w:val="24"/>
              </w:rPr>
              <w:t>.</w:t>
            </w:r>
          </w:p>
          <w:p>
            <w:pPr>
              <w:pStyle w:val="NoSpacing"/>
              <w:jc w:val="both"/>
              <w:rPr>
                <w:rFonts w:ascii="Arial" w:hAnsi="Arial" w:cs="Arial"/>
                <w:i/>
                <w:i/>
                <w:iCs/>
                <w:color w:themeColor="text1" w:val="000000"/>
                <w:sz w:val="24"/>
                <w:szCs w:val="24"/>
              </w:rPr>
            </w:pPr>
            <w:r>
              <w:rPr>
                <w:rFonts w:cs="Arial" w:ascii="Arial" w:hAnsi="Arial"/>
                <w:sz w:val="24"/>
                <w:szCs w:val="24"/>
              </w:rPr>
              <w:t xml:space="preserve">Nurodyti dokumentai turi būti  išduoti ne anksčiau kaip 120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Arial"/>
                <w:i/>
                <w:i/>
                <w:iCs/>
                <w:color w:val="7030A0"/>
                <w:sz w:val="24"/>
                <w:szCs w:val="24"/>
              </w:rPr>
            </w:pPr>
            <w:r>
              <w:rPr>
                <w:rFonts w:cs="Arial" w:ascii="Arial" w:hAnsi="Arial"/>
                <w:i/>
                <w:iCs/>
                <w:color w:val="7030A0"/>
                <w:sz w:val="24"/>
                <w:szCs w:val="24"/>
              </w:rPr>
            </w:r>
          </w:p>
          <w:p>
            <w:pPr>
              <w:pStyle w:val="NoSpacing"/>
              <w:jc w:val="both"/>
              <w:rPr>
                <w:rFonts w:ascii="Arial" w:hAnsi="Arial" w:cs="Arial"/>
                <w:b/>
                <w:bCs/>
                <w:sz w:val="24"/>
                <w:szCs w:val="24"/>
              </w:rPr>
            </w:pPr>
            <w:r>
              <w:rPr>
                <w:rFonts w:cs="Arial" w:ascii="Arial" w:hAnsi="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
                <w:bCs/>
                <w:sz w:val="24"/>
                <w:szCs w:val="24"/>
              </w:rPr>
            </w:pPr>
            <w:r>
              <w:rPr>
                <w:rFonts w:cs="Arial" w:ascii="Arial" w:hAnsi="Arial"/>
                <w:bCs/>
                <w:sz w:val="24"/>
                <w:szCs w:val="24"/>
              </w:rPr>
              <w:t>2) Dėl įsipareigojimų, susijusių su socialinio draudimo įmokų mokėjimu, įvykdymo i</w:t>
            </w:r>
            <w:r>
              <w:rPr>
                <w:rFonts w:cs="Arial" w:ascii="Arial" w:hAnsi="Arial"/>
                <w:sz w:val="24"/>
                <w:szCs w:val="24"/>
                <w:lang w:eastAsia="en-US"/>
              </w:rPr>
              <w:t xml:space="preserve">š Lietuvoje įsteigtų subjektų </w:t>
            </w:r>
            <w:r>
              <w:rPr>
                <w:rFonts w:cs="Arial" w:ascii="Arial" w:hAnsi="Arial"/>
                <w:bCs/>
                <w:sz w:val="24"/>
                <w:szCs w:val="24"/>
              </w:rPr>
              <w:t>prašoma:</w:t>
            </w:r>
          </w:p>
          <w:p>
            <w:pPr>
              <w:pStyle w:val="NoSpacing"/>
              <w:jc w:val="both"/>
              <w:rPr>
                <w:rFonts w:ascii="Arial" w:hAnsi="Arial" w:cs="Arial"/>
                <w:bCs/>
                <w:sz w:val="24"/>
                <w:szCs w:val="24"/>
              </w:rPr>
            </w:pPr>
            <w:r>
              <w:rPr>
                <w:rFonts w:cs="Arial" w:ascii="Arial" w:hAnsi="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Style w:val="Hyperlink"/>
                  <w:rFonts w:cs="Arial" w:ascii="Arial" w:hAnsi="Arial"/>
                  <w:bCs/>
                  <w:sz w:val="24"/>
                  <w:szCs w:val="24"/>
                  <w:u w:val="single"/>
                </w:rPr>
                <w:t>http://draudejai.sodra.lt/draudeju_viesi_duomenys/</w:t>
              </w:r>
            </w:hyperlink>
            <w:r>
              <w:rPr>
                <w:rFonts w:cs="Arial" w:ascii="Arial" w:hAnsi="Arial"/>
                <w:bCs/>
                <w:sz w:val="24"/>
                <w:szCs w:val="24"/>
              </w:rPr>
              <w:t>.</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198" w:leader="none"/>
              </w:tabs>
              <w:suppressAutoHyphens w:val="false"/>
              <w:ind w:hanging="0" w:left="-16"/>
              <w:jc w:val="both"/>
              <w:rPr>
                <w:rFonts w:ascii="Arial" w:hAnsi="Arial" w:cs="Arial"/>
                <w:b/>
                <w:bCs/>
                <w:sz w:val="24"/>
                <w:szCs w:val="24"/>
              </w:rPr>
            </w:pPr>
            <w:r>
              <w:rPr>
                <w:rFonts w:cs="Arial" w:ascii="Arial" w:hAnsi="Arial"/>
                <w:sz w:val="24"/>
                <w:szCs w:val="24"/>
              </w:rPr>
              <w:t>atitinkamos užsienio šalies kompetentingos institucijos dokumento</w:t>
            </w:r>
            <w:r>
              <w:rPr>
                <w:rStyle w:val="FootnoteReference"/>
                <w:rFonts w:cs="Arial" w:ascii="Arial" w:hAnsi="Arial"/>
                <w:sz w:val="24"/>
                <w:szCs w:val="24"/>
              </w:rPr>
              <w:footnoteReference w:id="4"/>
            </w:r>
            <w:r>
              <w:rPr>
                <w:rFonts w:cs="Arial" w:ascii="Arial" w:hAnsi="Arial"/>
                <w:sz w:val="24"/>
                <w:szCs w:val="24"/>
              </w:rPr>
              <w:t>.</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i/>
                <w:i/>
                <w:iCs/>
                <w:color w:val="7030A0"/>
                <w:sz w:val="24"/>
                <w:szCs w:val="24"/>
              </w:rPr>
            </w:pPr>
            <w:r>
              <w:rPr>
                <w:rFonts w:cs="Arial" w:ascii="Arial" w:hAnsi="Arial"/>
                <w:sz w:val="24"/>
                <w:szCs w:val="24"/>
              </w:rPr>
              <w:t xml:space="preserve">Nurodyti dokumentai turi būti  išduoti ne anksčiau kaip 120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
                <w:bCs/>
                <w:sz w:val="24"/>
                <w:szCs w:val="24"/>
              </w:rPr>
            </w:pPr>
            <w:r>
              <w:rPr>
                <w:rFonts w:cs="Arial" w:ascii="Arial" w:hAnsi="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su kitais tiekėjais yra sudaręs susitarimų, kuriais siekiama iškreipti konkurenciją atliekamame pirkime, ir perkančioji organizacija dėl to turi įtikinamų duomenų.</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1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C10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iCs/>
                <w:sz w:val="24"/>
                <w:szCs w:val="24"/>
                <w:lang w:eastAsia="en-US"/>
              </w:rPr>
            </w:pPr>
            <w:r>
              <w:rPr>
                <w:rFonts w:cs="Arial" w:ascii="Arial" w:hAnsi="Arial"/>
                <w:sz w:val="24"/>
                <w:szCs w:val="24"/>
                <w:lang w:eastAsia="en-US"/>
              </w:rPr>
              <w:t>Iš Lietuvoje įsteigtų subjektų įrodančių dokumentų nereikalaujama. Užtenka pateikto EBVPD.</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pirkimo metu pateko į interesų konflikto situaciją, kaip apibrėžta VPĮ 21 straipsnyje, ir atitinkamos padėties negalima ištaisyti.</w:t>
            </w:r>
          </w:p>
          <w:p>
            <w:pPr>
              <w:pStyle w:val="NoSpacing"/>
              <w:jc w:val="both"/>
              <w:rPr>
                <w:rFonts w:ascii="Arial" w:hAnsi="Arial" w:cs="Arial"/>
                <w:b/>
                <w:bCs/>
                <w:sz w:val="24"/>
                <w:szCs w:val="24"/>
              </w:rPr>
            </w:pPr>
            <w:r>
              <w:rPr>
                <w:rFonts w:cs="Arial" w:ascii="Arial" w:hAnsi="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2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 III dalies C12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Pažeista konkurencija, kaip nustatyta VPĮ 27 straipsnio 3 ir 4 dalyse, ir atitinkamos padėties negalima ištaisyti.</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3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C13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iCs/>
                <w:sz w:val="24"/>
                <w:szCs w:val="24"/>
                <w:lang w:eastAsia="en-US"/>
              </w:rPr>
            </w:pPr>
            <w:r>
              <w:rPr>
                <w:rFonts w:cs="Arial" w:ascii="Arial" w:hAnsi="Arial"/>
                <w:sz w:val="24"/>
                <w:szCs w:val="24"/>
                <w:lang w:eastAsia="en-US"/>
              </w:rPr>
              <w:t>Iš Lietuvoje įsteigtų subjektų įrodančių dokumentų nereikalaujama. Užtenka pateikto EBVPD.</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cs="Arial"/>
                <w:bCs/>
                <w:sz w:val="24"/>
                <w:szCs w:val="24"/>
              </w:rPr>
            </w:pPr>
            <w:r>
              <w:rPr>
                <w:rFonts w:cs="Arial" w:ascii="Arial" w:hAnsi="Arial"/>
                <w:bCs/>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cs="Arial"/>
                <w:bCs/>
                <w:sz w:val="24"/>
                <w:szCs w:val="24"/>
              </w:rPr>
            </w:pPr>
            <w:r>
              <w:rPr>
                <w:rFonts w:cs="Arial" w:ascii="Arial" w:hAnsi="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4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C15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Arial"/>
                <w:sz w:val="24"/>
                <w:szCs w:val="24"/>
              </w:rPr>
            </w:pPr>
            <w:hyperlink r:id="rId3">
              <w:r>
                <w:rPr>
                  <w:rStyle w:val="Hyperlink"/>
                  <w:rFonts w:cs="Arial" w:ascii="Arial" w:hAnsi="Arial"/>
                  <w:sz w:val="24"/>
                  <w:szCs w:val="24"/>
                </w:rPr>
                <w:t>https://vpt.lrv.lt/lt/nuorodos/kiti-duomenys/powerbi/melaginga-informacija-pateikusiu-tiekeju-sarasas-3/</w:t>
              </w:r>
            </w:hyperlink>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5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w:t>
            </w:r>
            <w:r>
              <w:rPr>
                <w:rFonts w:eastAsia="Arial" w:cs="Arial" w:ascii="Arial" w:hAnsi="Arial"/>
                <w:sz w:val="24"/>
                <w:szCs w:val="24"/>
              </w:rPr>
              <w:t xml:space="preserve"> III dalies C15 punktas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4"/>
                <w:szCs w:val="24"/>
              </w:rPr>
            </w:pPr>
            <w:r>
              <w:rPr>
                <w:rFonts w:cs="Arial" w:ascii="Arial" w:hAnsi="Arial"/>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Arial" w:hAnsi="Arial" w:cs="Arial"/>
                <w:sz w:val="24"/>
                <w:szCs w:val="24"/>
              </w:rPr>
            </w:pPr>
            <w:r>
              <w:rPr>
                <w:rFonts w:cs="Arial" w:ascii="Arial" w:hAnsi="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6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w:t>
            </w:r>
            <w:r>
              <w:rPr>
                <w:rFonts w:eastAsia="Arial" w:cs="Arial" w:ascii="Arial" w:hAnsi="Arial"/>
                <w:sz w:val="24"/>
                <w:szCs w:val="24"/>
              </w:rPr>
              <w:t xml:space="preserve"> III dalies C14 punktas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hyperlink r:id="rId4">
              <w:r>
                <w:rPr>
                  <w:rStyle w:val="Hyperlink"/>
                  <w:rFonts w:cs="Arial" w:ascii="Arial" w:hAnsi="Arial"/>
                  <w:sz w:val="24"/>
                  <w:szCs w:val="24"/>
                </w:rPr>
                <w:t>https://vpt.lrv.lt/lt/nuorodos/kiti-duomenys/powerbi/nepatikimi-tiekejai-1/</w:t>
              </w:r>
            </w:hyperlink>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hyperlink r:id="rId5">
              <w:r>
                <w:rPr>
                  <w:rStyle w:val="Hyperlink"/>
                  <w:rFonts w:cs="Arial" w:ascii="Arial" w:hAnsi="Arial"/>
                  <w:sz w:val="24"/>
                  <w:szCs w:val="24"/>
                </w:rPr>
                <w:t>https://vpt.lrv.lt/lt/pasalinimo-pagrindai-1/nepatikimu-koncesininku-sarasas-1/nepatikimu-koncesininku-sarasas/</w:t>
              </w:r>
            </w:hyperlink>
          </w:p>
          <w:p>
            <w:pPr>
              <w:pStyle w:val="NoSpacing"/>
              <w:jc w:val="both"/>
              <w:rPr>
                <w:rFonts w:ascii="Arial" w:hAnsi="Arial" w:cs="Arial"/>
                <w:bCs/>
                <w:sz w:val="24"/>
                <w:szCs w:val="24"/>
              </w:rPr>
            </w:pPr>
            <w:r>
              <w:rPr>
                <w:rFonts w:cs="Arial" w:ascii="Arial" w:hAnsi="Arial"/>
                <w:bCs/>
                <w:sz w:val="24"/>
                <w:szCs w:val="24"/>
              </w:rPr>
            </w:r>
          </w:p>
          <w:p>
            <w:pPr>
              <w:pStyle w:val="NoSpacing"/>
              <w:jc w:val="both"/>
              <w:rPr>
                <w:rFonts w:ascii="Arial" w:hAnsi="Arial" w:cs="Arial"/>
                <w:b/>
                <w:bCs/>
                <w:sz w:val="24"/>
                <w:szCs w:val="24"/>
              </w:rPr>
            </w:pPr>
            <w:r>
              <w:rPr>
                <w:rFonts w:cs="Arial" w:ascii="Arial" w:hAnsi="Arial"/>
                <w:b/>
                <w:b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p>
            <w:pPr>
              <w:pStyle w:val="NoSpacing"/>
              <w:ind w:left="32"/>
              <w:rPr>
                <w:rFonts w:ascii="Arial" w:hAnsi="Arial" w:cs="Arial"/>
                <w:sz w:val="24"/>
                <w:szCs w:val="24"/>
              </w:rPr>
            </w:pPr>
            <w:r>
              <w:rPr>
                <w:rFonts w:cs="Arial" w:ascii="Arial" w:hAnsi="Arial"/>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yra padaręs rimtą profesinį pažeidimą, dėl kurio perkančioji organizacija abejoja tiekėjo sąžiningumu, kai jis</w:t>
            </w:r>
            <w:bookmarkStart w:id="55" w:name="part_030e6c6c64ba4f96a23474e439d1b80c"/>
            <w:bookmarkEnd w:id="55"/>
            <w:r>
              <w:rPr>
                <w:rFonts w:cs="Arial" w:ascii="Arial" w:hAnsi="Arial"/>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Arial" w:hAnsi="Arial" w:cs="Arial"/>
                <w:b/>
                <w:sz w:val="24"/>
                <w:szCs w:val="24"/>
              </w:rPr>
            </w:pPr>
            <w:r>
              <w:rPr>
                <w:rFonts w:cs="Arial" w:ascii="Arial" w:hAnsi="Arial"/>
                <w:b/>
                <w:sz w:val="24"/>
                <w:szCs w:val="24"/>
              </w:rPr>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a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 xml:space="preserve">Iš Lietuvoje įsteigtų subjektų įrodančių dokumentų nereikalaujama. Užtenka pateikto EBVPD. </w:t>
            </w:r>
            <w:r>
              <w:rPr>
                <w:rFonts w:cs="Arial" w:ascii="Arial" w:hAnsi="Arial"/>
                <w:sz w:val="24"/>
                <w:szCs w:val="24"/>
              </w:rPr>
              <w:t>Priimant sprendimus dėl tiekėjo pašalinimo iš pirkimo procedūros šiame punkte nurodytu pašalinimo pagrindu, be kita ko, atsižvelgiama į</w:t>
            </w:r>
            <w:r>
              <w:rPr>
                <w:rFonts w:cs="Arial" w:ascii="Arial" w:hAnsi="Arial"/>
                <w:b/>
                <w:bCs/>
                <w:sz w:val="24"/>
                <w:szCs w:val="24"/>
              </w:rPr>
              <w:t xml:space="preserve"> </w:t>
            </w:r>
            <w:r>
              <w:rPr>
                <w:rFonts w:cs="Arial" w:ascii="Arial" w:hAnsi="Arial"/>
                <w:sz w:val="24"/>
                <w:szCs w:val="24"/>
              </w:rPr>
              <w:t xml:space="preserve">nacionalinėje duomenų bazėje adresu: </w:t>
            </w:r>
            <w:hyperlink r:id="rId6">
              <w:r>
                <w:rPr>
                  <w:rStyle w:val="Hyperlink"/>
                  <w:rFonts w:cs="Arial" w:ascii="Arial" w:hAnsi="Arial"/>
                  <w:sz w:val="24"/>
                  <w:szCs w:val="24"/>
                  <w:u w:val="single"/>
                </w:rPr>
                <w:t>https://www.registrucentras.lt/jar/p/index.php</w:t>
              </w:r>
            </w:hyperlink>
          </w:p>
          <w:p>
            <w:pPr>
              <w:pStyle w:val="NoSpacing"/>
              <w:jc w:val="both"/>
              <w:rPr>
                <w:rFonts w:ascii="Arial" w:hAnsi="Arial" w:cs="Arial"/>
                <w:sz w:val="24"/>
                <w:szCs w:val="24"/>
              </w:rPr>
            </w:pPr>
            <w:r>
              <w:rPr>
                <w:rFonts w:cs="Arial" w:ascii="Arial" w:hAnsi="Arial"/>
                <w:sz w:val="24"/>
                <w:szCs w:val="24"/>
              </w:rPr>
              <w:t>paskelbtą informaciją, taip pat į šiame informaciniame pranešime pateiktą informaciją:</w:t>
            </w:r>
          </w:p>
          <w:p>
            <w:pPr>
              <w:pStyle w:val="NoSpacing"/>
              <w:jc w:val="both"/>
              <w:rPr>
                <w:rFonts w:ascii="Arial" w:hAnsi="Arial" w:cs="Arial"/>
                <w:sz w:val="24"/>
                <w:szCs w:val="24"/>
              </w:rPr>
            </w:pPr>
            <w:hyperlink r:id="rId7">
              <w:r>
                <w:rPr>
                  <w:rStyle w:val="Hyperlink"/>
                  <w:rFonts w:cs="Arial" w:ascii="Arial" w:hAnsi="Arial"/>
                  <w:sz w:val="24"/>
                  <w:szCs w:val="24"/>
                </w:rPr>
                <w:t>https://vpt.lrv.lt/lt/naujienos-3/finansiniu-ataskaitu-nepateikimas-gali-tapti-kliutimi-dalyvauti-viesuosiuose-pirkimuose/</w:t>
              </w:r>
            </w:hyperlink>
          </w:p>
          <w:p>
            <w:pPr>
              <w:pStyle w:val="NoSpacing"/>
              <w:jc w:val="both"/>
              <w:rPr>
                <w:rFonts w:ascii="Arial" w:hAnsi="Arial" w:cs="Arial"/>
                <w:b/>
                <w:bCs/>
                <w:iCs/>
                <w:sz w:val="24"/>
                <w:szCs w:val="24"/>
              </w:rPr>
            </w:pPr>
            <w:r>
              <w:rPr>
                <w:rFonts w:cs="Arial" w:ascii="Arial" w:hAnsi="Arial"/>
                <w:b/>
                <w:bCs/>
                <w:i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 xml:space="preserve">Tiekėjas yra padaręs rimtą profesinį pažeidimą, dėl kurio perkančioji organizacija abejoja tiekėjo sąžiningumu, </w:t>
            </w:r>
            <w:r>
              <w:rPr>
                <w:rFonts w:eastAsia="Times New Roman" w:cs="Arial" w:ascii="Arial" w:hAnsi="Arial"/>
                <w:sz w:val="24"/>
                <w:szCs w:val="24"/>
              </w:rPr>
              <w:t xml:space="preserve"> kai jis (tiekėjas) neatitinka minimalių patikimo mokesčių mokėtojo kriterijų, nustatytų Lietuvos Respublikos mokesčių administravimo įstatymo 40</w:t>
            </w:r>
            <w:r>
              <w:rPr>
                <w:rFonts w:eastAsia="Times New Roman" w:cs="Arial" w:ascii="Arial" w:hAnsi="Arial"/>
                <w:sz w:val="24"/>
                <w:szCs w:val="24"/>
                <w:vertAlign w:val="superscript"/>
              </w:rPr>
              <w:t>1</w:t>
            </w:r>
            <w:r>
              <w:rPr>
                <w:rFonts w:eastAsia="Times New Roman" w:cs="Arial" w:ascii="Arial" w:hAnsi="Arial"/>
                <w:sz w:val="24"/>
                <w:szCs w:val="24"/>
              </w:rPr>
              <w:t xml:space="preserve"> straipsnio 1 dalyje.</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b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p>
            <w:pPr>
              <w:pStyle w:val="NoSpacing"/>
              <w:jc w:val="both"/>
              <w:rPr>
                <w:rFonts w:ascii="Arial" w:hAnsi="Arial" w:cs="Arial"/>
                <w:b/>
                <w:bCs/>
                <w:sz w:val="24"/>
                <w:szCs w:val="24"/>
              </w:rPr>
            </w:pPr>
            <w:r>
              <w:rPr>
                <w:rFonts w:cs="Arial" w:ascii="Arial" w:hAnsi="Arial"/>
                <w:sz w:val="24"/>
                <w:szCs w:val="24"/>
              </w:rPr>
              <w:t>Priimant sprendimus dėl tiekėjo pašalinimo iš pirkimo procedūros šiame punkte nurodytu pašalinimo pagrindu, be kita ko, atsižvelgiama į</w:t>
            </w:r>
            <w:r>
              <w:rPr>
                <w:rFonts w:cs="Arial" w:ascii="Arial" w:hAnsi="Arial"/>
                <w:b/>
                <w:bCs/>
                <w:sz w:val="24"/>
                <w:szCs w:val="24"/>
              </w:rPr>
              <w:t xml:space="preserve"> </w:t>
            </w:r>
            <w:r>
              <w:rPr>
                <w:rFonts w:cs="Arial" w:ascii="Arial" w:hAnsi="Arial"/>
                <w:sz w:val="24"/>
                <w:szCs w:val="24"/>
              </w:rPr>
              <w:t xml:space="preserve">nacionalinėje duomenų bazėje adresu </w:t>
            </w:r>
            <w:hyperlink r:id="rId8">
              <w:r>
                <w:rPr>
                  <w:rStyle w:val="Hyperlink"/>
                  <w:rFonts w:cs="Arial" w:ascii="Arial" w:hAnsi="Arial"/>
                  <w:sz w:val="24"/>
                  <w:szCs w:val="24"/>
                  <w:u w:val="single"/>
                </w:rPr>
                <w:t>https://www.vmi.lt/evmi/mokesciu-moketoju-informacija</w:t>
              </w:r>
            </w:hyperlink>
            <w:r>
              <w:rPr>
                <w:rFonts w:cs="Arial" w:ascii="Arial" w:hAnsi="Arial"/>
                <w:sz w:val="24"/>
                <w:szCs w:val="24"/>
              </w:rPr>
              <w:t xml:space="preserve"> skelbiamą informaciją.</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yra padaręs rimtą profesinį pažeidimą, dėl kurio perkančioji organizacija abejoja tiekėjo sąžiningumu,</w:t>
            </w:r>
            <w:r>
              <w:rPr>
                <w:rFonts w:eastAsia="Times New Roman" w:cs="Arial" w:ascii="Arial" w:hAnsi="Arial"/>
                <w:sz w:val="24"/>
                <w:szCs w:val="24"/>
              </w:rPr>
              <w:t xml:space="preserve"> kai jis </w:t>
            </w:r>
            <w:r>
              <w:rPr>
                <w:rFonts w:cs="Arial" w:ascii="Arial" w:hAnsi="Arial"/>
                <w:color w:themeColor="text1"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c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rmal"/>
              <w:spacing w:lineRule="auto" w:line="240"/>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be kita ko, atsižvelgiama į nacionalinėje duomenų bazėje adresu:</w:t>
            </w:r>
          </w:p>
          <w:p>
            <w:pPr>
              <w:pStyle w:val="Normal"/>
              <w:spacing w:lineRule="auto" w:line="240" w:before="0" w:after="160"/>
              <w:rPr>
                <w:rFonts w:ascii="Arial" w:hAnsi="Arial" w:cs="Arial"/>
                <w:bCs/>
                <w:iCs/>
                <w:sz w:val="24"/>
                <w:szCs w:val="24"/>
                <w:lang w:eastAsia="en-US"/>
              </w:rPr>
            </w:pPr>
            <w:hyperlink r:id="rId9">
              <w:r>
                <w:rPr>
                  <w:rStyle w:val="Hyperlink"/>
                  <w:rFonts w:cs="Arial" w:ascii="Arial" w:hAnsi="Arial"/>
                  <w:sz w:val="24"/>
                  <w:szCs w:val="24"/>
                  <w:u w:val="single"/>
                </w:rPr>
                <w:t>https://kt.gov.lt/lt/atviri-duomenys/diskvalifikavimas-is-viesuju-pirkimu</w:t>
              </w:r>
            </w:hyperlink>
            <w:r>
              <w:rPr>
                <w:rFonts w:cs="Arial" w:ascii="Arial" w:hAnsi="Arial"/>
                <w:sz w:val="24"/>
                <w:szCs w:val="24"/>
              </w:rPr>
              <w:t xml:space="preserve"> skelbiamą informaciją.</w:t>
            </w:r>
          </w:p>
        </w:tc>
      </w:tr>
      <w:tr>
        <w:trPr/>
        <w:tc>
          <w:tcPr>
            <w:tcW w:w="626" w:type="dxa"/>
            <w:tcBorders>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0"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color w:val="000000"/>
                <w:sz w:val="22"/>
                <w:szCs w:val="22"/>
                <w:lang w:eastAsia="en-US"/>
              </w:rPr>
              <w:t>Tiekėjas yra neatlikęs jam paskirtos baudžiamojo poveikio priemonės – uždraudimo juridiniam asmeniui dalyvauti viešuosiuose pirkimuose.</w:t>
            </w:r>
          </w:p>
        </w:tc>
        <w:tc>
          <w:tcPr>
            <w:tcW w:w="2888" w:type="dxa"/>
            <w:tcBorders>
              <w:left w:val="single" w:sz="4" w:space="0" w:color="000000"/>
              <w:bottom w:val="single" w:sz="4" w:space="0" w:color="000000"/>
              <w:right w:val="single" w:sz="4" w:space="0" w:color="000000"/>
            </w:tcBorders>
          </w:tcPr>
          <w:p>
            <w:pPr>
              <w:pStyle w:val="NoSpacing"/>
              <w:jc w:val="both"/>
              <w:rPr>
                <w:color w:val="000000"/>
              </w:rPr>
            </w:pPr>
            <w:r>
              <w:rPr>
                <w:rFonts w:eastAsia="Yu Mincho" w:cs="Arial" w:ascii="Verdana" w:hAnsi="Verdana"/>
                <w:b/>
                <w:bCs/>
                <w:color w:val="000000"/>
                <w:sz w:val="22"/>
                <w:szCs w:val="22"/>
                <w:lang w:eastAsia="en-US"/>
              </w:rPr>
              <w:t>VPĮ 46 straipsnio 2¹ dalis</w:t>
            </w:r>
          </w:p>
          <w:p>
            <w:pPr>
              <w:pStyle w:val="NoSpacing"/>
              <w:jc w:val="both"/>
              <w:rPr>
                <w:rFonts w:ascii="Verdana" w:hAnsi="Verdana" w:eastAsia="Yu Mincho" w:cs="Arial"/>
                <w:b/>
                <w:bCs/>
                <w:color w:val="000000"/>
                <w:sz w:val="22"/>
                <w:szCs w:val="22"/>
              </w:rPr>
            </w:pPr>
            <w:r>
              <w:rPr>
                <w:rFonts w:eastAsia="Yu Mincho" w:cs="Arial" w:ascii="Verdana" w:hAnsi="Verdana"/>
                <w:b/>
                <w:bCs/>
                <w:color w:val="000000"/>
                <w:sz w:val="22"/>
                <w:szCs w:val="22"/>
              </w:rPr>
            </w:r>
          </w:p>
          <w:p>
            <w:pPr>
              <w:pStyle w:val="NoSpacing"/>
              <w:jc w:val="both"/>
              <w:rPr>
                <w:color w:val="000000"/>
              </w:rPr>
            </w:pPr>
            <w:r>
              <w:rPr>
                <w:rFonts w:eastAsia="Yu Mincho" w:cs="Arial" w:ascii="Verdana" w:hAnsi="Verdana"/>
                <w:color w:val="000000"/>
                <w:sz w:val="22"/>
                <w:szCs w:val="22"/>
                <w:lang w:eastAsia="en-US"/>
              </w:rPr>
              <w:t>EBVPD III dalies D2 punktas</w:t>
            </w:r>
          </w:p>
        </w:tc>
        <w:tc>
          <w:tcPr>
            <w:tcW w:w="2430"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color w:val="000000"/>
                <w:sz w:val="22"/>
                <w:szCs w:val="22"/>
                <w:lang w:eastAsia="en-US"/>
              </w:rPr>
              <w:t>Iš Lietuvoje įsteigtų subjektų įrodančių dokumentų nereikalaujama. Užtenka pateikto EBVPD.</w:t>
            </w:r>
          </w:p>
          <w:p>
            <w:pPr>
              <w:pStyle w:val="NoSpacing"/>
              <w:jc w:val="both"/>
              <w:rPr>
                <w:rFonts w:ascii="Verdana" w:hAnsi="Verdana"/>
                <w:color w:val="000000"/>
                <w:sz w:val="22"/>
                <w:szCs w:val="22"/>
              </w:rPr>
            </w:pPr>
            <w:r>
              <w:rPr>
                <w:rFonts w:ascii="Verdana" w:hAnsi="Verdana"/>
                <w:color w:val="000000"/>
                <w:sz w:val="22"/>
                <w:szCs w:val="22"/>
              </w:rPr>
            </w:r>
          </w:p>
        </w:tc>
      </w:tr>
    </w:tbl>
    <w:p>
      <w:pPr>
        <w:pStyle w:val="BodyText"/>
        <w:spacing w:lineRule="auto" w:line="240" w:before="0" w:after="0"/>
        <w:ind w:hanging="0"/>
        <w:rPr>
          <w:rFonts w:ascii="Arial" w:hAnsi="Arial" w:cs="Arial"/>
          <w:sz w:val="24"/>
          <w:szCs w:val="24"/>
        </w:rPr>
      </w:pPr>
      <w:r>
        <w:rPr>
          <w:rFonts w:cs="Arial" w:ascii="Arial" w:hAnsi="Arial"/>
          <w:sz w:val="24"/>
          <w:szCs w:val="24"/>
        </w:rPr>
      </w:r>
    </w:p>
    <w:p>
      <w:pPr>
        <w:pStyle w:val="Normal"/>
        <w:spacing w:lineRule="auto" w:line="240"/>
        <w:jc w:val="center"/>
        <w:rPr>
          <w:rFonts w:ascii="Arial" w:hAnsi="Arial" w:cs="Arial"/>
          <w:smallCaps/>
          <w:sz w:val="24"/>
          <w:szCs w:val="24"/>
        </w:rPr>
      </w:pPr>
      <w:r>
        <w:rPr>
          <w:rFonts w:cs="Arial" w:ascii="Arial" w:hAnsi="Arial"/>
          <w:smallCaps/>
          <w:sz w:val="24"/>
          <w:szCs w:val="24"/>
        </w:rPr>
        <w:t>______________</w:t>
      </w:r>
      <w:r>
        <w:br w:type="page"/>
      </w:r>
    </w:p>
    <w:p>
      <w:pPr>
        <w:pStyle w:val="Normal"/>
        <w:tabs>
          <w:tab w:val="clear" w:pos="1296"/>
          <w:tab w:val="left" w:pos="1560" w:leader="none"/>
        </w:tabs>
        <w:spacing w:lineRule="auto" w:line="240" w:before="0" w:after="0"/>
        <w:ind w:left="6480"/>
        <w:jc w:val="both"/>
        <w:rPr>
          <w:rFonts w:ascii="Arial" w:hAnsi="Arial" w:cs="Arial"/>
          <w:sz w:val="24"/>
          <w:szCs w:val="24"/>
        </w:rPr>
      </w:pPr>
      <w:bookmarkStart w:id="56" w:name="_Hlk152062951"/>
      <w:bookmarkStart w:id="57" w:name="_Ref38533412"/>
      <w:bookmarkStart w:id="58" w:name="_Ref38291334"/>
      <w:bookmarkStart w:id="59" w:name="_Ref38291223"/>
      <w:bookmarkStart w:id="60" w:name="_Hlk102747449"/>
      <w:r>
        <w:rPr>
          <w:rFonts w:cs="Arial" w:ascii="Arial" w:hAnsi="Arial"/>
          <w:sz w:val="24"/>
          <w:szCs w:val="24"/>
        </w:rPr>
        <w:t>Pirkimo sąlygų 4 p</w:t>
      </w:r>
      <w:bookmarkEnd w:id="60"/>
      <w:r>
        <w:rPr>
          <w:rFonts w:cs="Arial" w:ascii="Arial" w:hAnsi="Arial"/>
          <w:sz w:val="24"/>
          <w:szCs w:val="24"/>
        </w:rPr>
        <w:t>riedas „Tiekėjų kvalifikacijos reikalavimai ir reikalaujami kokybės bei aplinkos apsaugos vadybos sistemų standartai“</w:t>
      </w:r>
      <w:bookmarkEnd w:id="56"/>
      <w:bookmarkEnd w:id="57"/>
      <w:bookmarkEnd w:id="58"/>
      <w:bookmarkEnd w:id="59"/>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Subtitle"/>
        <w:spacing w:lineRule="auto" w:line="240"/>
        <w:jc w:val="center"/>
        <w:rPr>
          <w:rFonts w:ascii="Arial" w:hAnsi="Arial" w:cs="Arial"/>
          <w:lang w:eastAsia="en-US"/>
        </w:rPr>
      </w:pPr>
      <w:r>
        <w:rPr>
          <w:rFonts w:cs="Arial" w:ascii="Arial" w:hAnsi="Arial"/>
          <w:smallCaps/>
        </w:rPr>
        <w:t xml:space="preserve">TIEKĖJŲ KVALIFIKACIJOS REIKALAVIMAI IR REIKALAVIMAI LAIKYTIS </w:t>
      </w:r>
      <w:r>
        <w:rPr>
          <w:rFonts w:cs="Arial" w:ascii="Arial" w:hAnsi="Arial"/>
          <w:lang w:eastAsia="en-US"/>
        </w:rPr>
        <w:t>KOKYBĖS VADYBOS SISTEMOS IR (ARBA) APLINKOS APSAUGOS VADYBOS SISTEMOS STANDARTŲ</w:t>
      </w:r>
    </w:p>
    <w:p>
      <w:pPr>
        <w:pStyle w:val="Normal"/>
        <w:ind w:firstLine="567"/>
        <w:rPr>
          <w:rFonts w:ascii="Arial" w:hAnsi="Arial" w:eastAsia="Arial" w:cs="Arial"/>
          <w:sz w:val="24"/>
          <w:szCs w:val="24"/>
        </w:rPr>
      </w:pPr>
      <w:r>
        <w:rPr>
          <w:rFonts w:eastAsia="Arial" w:cs="Arial" w:ascii="Arial" w:hAnsi="Arial"/>
          <w:sz w:val="24"/>
          <w:szCs w:val="24"/>
        </w:rPr>
      </w:r>
    </w:p>
    <w:p>
      <w:pPr>
        <w:pStyle w:val="Normal"/>
        <w:ind w:firstLine="567"/>
        <w:rPr>
          <w:rFonts w:ascii="Arial" w:hAnsi="Arial" w:eastAsia="Arial" w:cs="Arial"/>
          <w:sz w:val="24"/>
          <w:szCs w:val="24"/>
        </w:rPr>
      </w:pPr>
      <w:r>
        <w:rPr>
          <w:rFonts w:eastAsia="Arial" w:cs="Arial" w:ascii="Arial" w:hAnsi="Arial"/>
          <w:sz w:val="24"/>
          <w:szCs w:val="24"/>
        </w:rPr>
        <w:t xml:space="preserve">1. Kvalifikaciniai reikalavimai tiekėjams netaikomi. </w:t>
      </w:r>
    </w:p>
    <w:p>
      <w:pPr>
        <w:pStyle w:val="Normal"/>
        <w:ind w:firstLine="567"/>
        <w:jc w:val="both"/>
        <w:rPr>
          <w:rFonts w:ascii="Arial" w:hAnsi="Arial" w:eastAsia="Arial" w:cs="Arial"/>
          <w:sz w:val="24"/>
          <w:szCs w:val="24"/>
        </w:rPr>
      </w:pPr>
      <w:r>
        <w:rPr>
          <w:rFonts w:eastAsia="Arial" w:cs="Arial" w:ascii="Arial" w:hAnsi="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pPr>
        <w:pStyle w:val="Normal"/>
        <w:ind w:firstLine="567"/>
        <w:rPr>
          <w:rFonts w:ascii="Arial" w:hAnsi="Arial" w:eastAsia="Arial" w:cs="Arial"/>
          <w:sz w:val="24"/>
          <w:szCs w:val="24"/>
        </w:rPr>
      </w:pPr>
      <w:r>
        <w:rPr>
          <w:rFonts w:eastAsia="Arial" w:cs="Arial" w:ascii="Arial" w:hAnsi="Arial"/>
          <w:sz w:val="24"/>
          <w:szCs w:val="24"/>
        </w:rPr>
      </w:r>
    </w:p>
    <w:p>
      <w:pPr>
        <w:pStyle w:val="Normal"/>
        <w:ind w:firstLine="567"/>
        <w:rPr>
          <w:rFonts w:ascii="Arial" w:hAnsi="Arial" w:eastAsia="Arial" w:cs="Arial"/>
          <w:sz w:val="24"/>
          <w:szCs w:val="24"/>
        </w:rPr>
      </w:pPr>
      <w:r>
        <w:rPr>
          <w:rFonts w:eastAsia="Arial" w:cs="Arial" w:ascii="Arial" w:hAnsi="Arial"/>
          <w:sz w:val="24"/>
          <w:szCs w:val="24"/>
        </w:rPr>
      </w:r>
    </w:p>
    <w:p>
      <w:pPr>
        <w:pStyle w:val="Normal"/>
        <w:jc w:val="center"/>
        <w:rPr>
          <w:rFonts w:ascii="Arial" w:hAnsi="Arial" w:eastAsia="Arial" w:cs="Arial"/>
          <w:b/>
          <w:sz w:val="24"/>
          <w:szCs w:val="24"/>
        </w:rPr>
      </w:pPr>
      <w:r>
        <w:rPr>
          <w:rFonts w:eastAsia="Arial" w:cs="Arial" w:ascii="Arial" w:hAnsi="Arial"/>
          <w:b/>
          <w:sz w:val="24"/>
          <w:szCs w:val="24"/>
        </w:rPr>
        <w:t>Tiekėjams keliami reikalavimai dėl kokybės vadybos sistemos ir (ar) aplinkos apsaugos vadybos sistemos standartų reikalavimai</w:t>
      </w:r>
    </w:p>
    <w:p>
      <w:pPr>
        <w:pStyle w:val="Normal"/>
        <w:jc w:val="center"/>
        <w:rPr>
          <w:rFonts w:ascii="Arial" w:hAnsi="Arial" w:eastAsia="Arial" w:cs="Arial"/>
          <w:b/>
          <w:sz w:val="24"/>
          <w:szCs w:val="24"/>
        </w:rPr>
      </w:pPr>
      <w:r>
        <w:rPr>
          <w:rFonts w:eastAsia="Arial" w:cs="Arial" w:ascii="Arial" w:hAnsi="Arial"/>
          <w:b/>
          <w:sz w:val="24"/>
          <w:szCs w:val="24"/>
        </w:rPr>
      </w:r>
    </w:p>
    <w:p>
      <w:pPr>
        <w:pStyle w:val="Normal"/>
        <w:ind w:firstLine="567"/>
        <w:jc w:val="both"/>
        <w:rPr>
          <w:rFonts w:ascii="Arial" w:hAnsi="Arial" w:eastAsia="Arial" w:cs="Arial"/>
          <w:sz w:val="24"/>
          <w:szCs w:val="24"/>
        </w:rPr>
      </w:pPr>
      <w:r>
        <w:rPr>
          <w:rFonts w:eastAsia="Arial" w:cs="Arial" w:ascii="Arial" w:hAnsi="Arial"/>
          <w:sz w:val="24"/>
          <w:szCs w:val="24"/>
        </w:rPr>
        <w:t>1. Perkančioji organizacija šiame pirkime nereikalauja, kad tiekėjai laikytųsi kokybės vadybos sistemos ir (arba) aplinkos apsaugos vadybos sistemos standartų.</w:t>
      </w:r>
    </w:p>
    <w:p>
      <w:pPr>
        <w:pStyle w:val="Normal"/>
        <w:ind w:firstLine="567"/>
        <w:rPr>
          <w:rFonts w:ascii="Arial" w:hAnsi="Arial" w:eastAsia="Arial" w:cs="Arial"/>
          <w:sz w:val="24"/>
          <w:szCs w:val="24"/>
        </w:rPr>
      </w:pPr>
      <w:r>
        <w:rPr>
          <w:rFonts w:eastAsia="Arial" w:cs="Arial" w:ascii="Arial" w:hAnsi="Arial"/>
          <w:sz w:val="24"/>
          <w:szCs w:val="24"/>
        </w:rPr>
      </w:r>
    </w:p>
    <w:p>
      <w:pPr>
        <w:pStyle w:val="Standard"/>
        <w:spacing w:lineRule="auto" w:line="240" w:before="0" w:after="0"/>
        <w:jc w:val="center"/>
        <w:rPr>
          <w:rFonts w:ascii="Arial" w:hAnsi="Arial" w:cs="Arial"/>
        </w:rPr>
      </w:pPr>
      <w:r>
        <w:rPr>
          <w:rFonts w:eastAsia="Calibri"/>
          <w:b/>
          <w:bCs/>
          <w:lang w:eastAsia="en-US"/>
        </w:rPr>
        <w:t>_____________</w:t>
      </w:r>
      <w:bookmarkStart w:id="61" w:name="_Toc126333943"/>
      <w:bookmarkStart w:id="62" w:name="_Ref38898251"/>
      <w:bookmarkStart w:id="63" w:name="_Ref38291394"/>
      <w:bookmarkStart w:id="64" w:name="_Ref38291379"/>
    </w:p>
    <w:p>
      <w:pPr>
        <w:pStyle w:val="ListParagraph"/>
        <w:spacing w:lineRule="auto" w:line="240" w:before="0" w:after="0"/>
        <w:ind w:left="0"/>
        <w:contextualSpacing/>
        <w:jc w:val="center"/>
        <w:rPr>
          <w:rFonts w:ascii="Arial" w:hAnsi="Arial" w:cs="Arial"/>
          <w:smallCaps/>
          <w:sz w:val="24"/>
          <w:szCs w:val="24"/>
        </w:rPr>
      </w:pPr>
      <w:r>
        <w:rPr>
          <w:rFonts w:cs="Arial" w:ascii="Arial" w:hAnsi="Arial"/>
          <w:smallCaps/>
          <w:sz w:val="24"/>
          <w:szCs w:val="24"/>
        </w:rPr>
      </w:r>
      <w:r>
        <w:br w:type="page"/>
      </w:r>
    </w:p>
    <w:p>
      <w:pPr>
        <w:pStyle w:val="Heading2"/>
        <w:spacing w:before="0" w:after="0"/>
        <w:ind w:left="7110"/>
        <w:jc w:val="both"/>
        <w:rPr>
          <w:rFonts w:ascii="Arial" w:hAnsi="Arial" w:cs="Arial"/>
          <w:color w:val="auto"/>
          <w:sz w:val="24"/>
          <w:szCs w:val="24"/>
        </w:rPr>
      </w:pPr>
      <w:bookmarkStart w:id="65" w:name="_Toc187926820"/>
      <w:r>
        <w:rPr>
          <w:rFonts w:eastAsia="Calibri" w:cs="Arial" w:ascii="Arial" w:hAnsi="Arial"/>
          <w:color w:val="auto"/>
          <w:sz w:val="24"/>
          <w:szCs w:val="24"/>
        </w:rPr>
        <w:t>Pirkimo sąlygų 5 priedas „Europos bendrasis viešųjų pirkimų dokumentas“</w:t>
      </w:r>
      <w:bookmarkEnd w:id="65"/>
      <w:r>
        <w:rPr>
          <w:rFonts w:eastAsia="Calibri" w:cs="Arial" w:ascii="Arial" w:hAnsi="Arial"/>
          <w:color w:val="auto"/>
          <w:sz w:val="24"/>
          <w:szCs w:val="24"/>
        </w:rPr>
        <w:t xml:space="preserve"> </w:t>
      </w:r>
      <w:bookmarkEnd w:id="61"/>
      <w:bookmarkEnd w:id="62"/>
      <w:bookmarkEnd w:id="63"/>
      <w:bookmarkEnd w:id="64"/>
    </w:p>
    <w:p>
      <w:pPr>
        <w:pStyle w:val="Normal"/>
        <w:spacing w:lineRule="auto" w:line="240"/>
        <w:rPr>
          <w:rFonts w:ascii="Arial" w:hAnsi="Arial" w:cs="Arial"/>
          <w:b/>
          <w:bCs/>
          <w:smallCaps/>
          <w:sz w:val="24"/>
          <w:szCs w:val="24"/>
        </w:rPr>
      </w:pPr>
      <w:r>
        <w:rPr>
          <w:rFonts w:cs="Arial" w:ascii="Arial" w:hAnsi="Arial"/>
          <w:b/>
          <w:bCs/>
          <w:smallCaps/>
          <w:sz w:val="24"/>
          <w:szCs w:val="24"/>
        </w:rPr>
      </w:r>
    </w:p>
    <w:p>
      <w:pPr>
        <w:pStyle w:val="Normal"/>
        <w:spacing w:lineRule="auto" w:line="240"/>
        <w:jc w:val="center"/>
        <w:rPr>
          <w:rFonts w:ascii="Arial" w:hAnsi="Arial" w:cs="Arial"/>
          <w:b/>
          <w:bCs/>
          <w:smallCaps/>
          <w:sz w:val="24"/>
          <w:szCs w:val="24"/>
        </w:rPr>
      </w:pPr>
      <w:r>
        <w:rPr>
          <w:rFonts w:cs="Arial" w:ascii="Arial" w:hAnsi="Arial"/>
          <w:b/>
          <w:bCs/>
          <w:sz w:val="24"/>
          <w:szCs w:val="24"/>
        </w:rPr>
        <w:t>EUROPOS BENDRASIS VIEŠŲJŲ PIRKIMŲ DOKUMENTAS</w:t>
      </w:r>
    </w:p>
    <w:p>
      <w:pPr>
        <w:pStyle w:val="Normal"/>
        <w:spacing w:lineRule="auto" w:line="240" w:before="0" w:after="0"/>
        <w:ind w:firstLine="567"/>
        <w:jc w:val="both"/>
        <w:rPr>
          <w:rFonts w:ascii="Arial" w:hAnsi="Arial" w:cs="Arial"/>
          <w:sz w:val="24"/>
          <w:szCs w:val="24"/>
        </w:rPr>
      </w:pPr>
      <w:r>
        <w:rPr>
          <w:rFonts w:cs="Arial" w:ascii="Arial" w:hAnsi="Arial"/>
          <w:sz w:val="24"/>
          <w:szCs w:val="24"/>
        </w:rPr>
        <w:t>„</w:t>
      </w:r>
      <w:r>
        <w:rPr>
          <w:rFonts w:cs="Arial" w:ascii="Arial" w:hAnsi="Arial"/>
          <w:sz w:val="24"/>
          <w:szCs w:val="24"/>
        </w:rPr>
        <w:t>Europos bendrasis viešųjų pirkimų dokumentas (EBVPD)“ pateikiamas atskiru dokumentu (</w:t>
      </w:r>
      <w:r>
        <w:rPr>
          <w:rFonts w:cs="Arial" w:ascii="Arial" w:hAnsi="Arial"/>
          <w:i/>
          <w:sz w:val="24"/>
          <w:szCs w:val="24"/>
        </w:rPr>
        <w:t>xml ir pdf formatu</w:t>
      </w:r>
      <w:r>
        <w:rPr>
          <w:rFonts w:cs="Arial" w:ascii="Arial" w:hAnsi="Arial"/>
          <w:sz w:val="24"/>
          <w:szCs w:val="24"/>
        </w:rPr>
        <w:t xml:space="preserve">)ir skelbiamas viešai CVP IS priemonėmis kartu su kitais pirkimo dokumentais. </w:t>
      </w:r>
    </w:p>
    <w:p>
      <w:pPr>
        <w:pStyle w:val="Normal"/>
        <w:spacing w:lineRule="auto" w:line="240"/>
        <w:jc w:val="center"/>
        <w:rPr>
          <w:rFonts w:ascii="Arial" w:hAnsi="Arial" w:cs="Arial"/>
          <w:smallCaps/>
          <w:sz w:val="24"/>
          <w:szCs w:val="24"/>
        </w:rPr>
      </w:pPr>
      <w:r>
        <w:rPr>
          <w:rFonts w:cs="Arial" w:ascii="Arial" w:hAnsi="Arial"/>
          <w:smallCaps/>
          <w:sz w:val="24"/>
          <w:szCs w:val="24"/>
        </w:rPr>
        <w:t>__________</w:t>
      </w:r>
    </w:p>
    <w:p>
      <w:pPr>
        <w:pStyle w:val="Normal"/>
        <w:spacing w:lineRule="auto" w:line="240"/>
        <w:rPr>
          <w:rFonts w:ascii="Arial" w:hAnsi="Arial" w:cs="Arial"/>
          <w:b/>
          <w:bCs/>
          <w:smallCaps/>
          <w:sz w:val="24"/>
          <w:szCs w:val="24"/>
        </w:rPr>
      </w:pPr>
      <w:r>
        <w:rPr>
          <w:rFonts w:cs="Arial" w:ascii="Arial" w:hAnsi="Arial"/>
          <w:b/>
          <w:bCs/>
          <w:smallCaps/>
          <w:sz w:val="24"/>
          <w:szCs w:val="24"/>
        </w:rPr>
      </w:r>
      <w:r>
        <w:br w:type="page"/>
      </w:r>
    </w:p>
    <w:p>
      <w:pPr>
        <w:pStyle w:val="Heading2"/>
        <w:spacing w:before="0" w:after="0"/>
        <w:ind w:left="7380"/>
        <w:jc w:val="both"/>
        <w:rPr>
          <w:rFonts w:ascii="Arial" w:hAnsi="Arial" w:eastAsia="Calibri" w:cs="Arial"/>
          <w:color w:val="auto"/>
          <w:sz w:val="24"/>
          <w:szCs w:val="24"/>
        </w:rPr>
      </w:pPr>
      <w:bookmarkStart w:id="66" w:name="_Ref38901392"/>
      <w:bookmarkStart w:id="67" w:name="_Ref38898051"/>
      <w:bookmarkStart w:id="68" w:name="_Ref38540913"/>
      <w:bookmarkStart w:id="69" w:name="_Toc187926821"/>
      <w:r>
        <w:rPr>
          <w:rFonts w:eastAsia="Calibri" w:cs="Arial" w:ascii="Arial" w:hAnsi="Arial"/>
          <w:color w:val="auto"/>
          <w:sz w:val="24"/>
          <w:szCs w:val="24"/>
        </w:rPr>
        <w:t>Pirkimo sąlygų 6 priedas „Pasiūlymo forma“</w:t>
      </w:r>
      <w:bookmarkEnd w:id="66"/>
      <w:bookmarkEnd w:id="67"/>
      <w:bookmarkEnd w:id="68"/>
      <w:bookmarkEnd w:id="69"/>
    </w:p>
    <w:p>
      <w:pPr>
        <w:pStyle w:val="Normal"/>
        <w:spacing w:lineRule="auto" w:line="240" w:before="0" w:after="0"/>
        <w:ind w:right="-178"/>
        <w:jc w:val="center"/>
        <w:rPr>
          <w:rFonts w:ascii="Arial" w:hAnsi="Arial" w:cs="Arial"/>
          <w:sz w:val="24"/>
          <w:szCs w:val="24"/>
        </w:rPr>
      </w:pPr>
      <w:r>
        <w:rPr>
          <w:rFonts w:cs="Arial" w:ascii="Arial" w:hAnsi="Arial"/>
          <w:sz w:val="24"/>
          <w:szCs w:val="24"/>
        </w:rPr>
      </w:r>
    </w:p>
    <w:p>
      <w:pPr>
        <w:pStyle w:val="Normal"/>
        <w:spacing w:lineRule="auto" w:line="240" w:before="0" w:after="0"/>
        <w:ind w:right="-178"/>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t>Herbas arba prekių ženklas</w:t>
      </w:r>
    </w:p>
    <w:p>
      <w:pPr>
        <w:pStyle w:val="Normal"/>
        <w:spacing w:lineRule="auto" w:line="240" w:before="0" w:after="0"/>
        <w:ind w:right="-178"/>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r>
    </w:p>
    <w:p>
      <w:pPr>
        <w:pStyle w:val="Normal"/>
        <w:spacing w:lineRule="auto" w:line="240" w:before="0" w:after="0"/>
        <w:ind w:right="-178"/>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t>(Teikėjo pavadinimas)</w:t>
      </w:r>
    </w:p>
    <w:p>
      <w:pPr>
        <w:pStyle w:val="Normal"/>
        <w:spacing w:lineRule="auto" w:line="240" w:before="0" w:after="0"/>
        <w:ind w:right="-178"/>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r>
    </w:p>
    <w:p>
      <w:pPr>
        <w:pStyle w:val="Normal"/>
        <w:spacing w:lineRule="auto" w:line="240" w:before="0" w:after="0"/>
        <w:ind w:right="-178"/>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pPr>
        <w:pStyle w:val="Normal"/>
        <w:spacing w:lineRule="auto" w:line="240" w:before="0" w:after="0"/>
        <w:jc w:val="right"/>
        <w:rPr>
          <w:rFonts w:ascii="Times New Roman" w:hAnsi="Times New Roman" w:eastAsia="Times New Roman" w:cs="Times New Roman"/>
          <w:sz w:val="24"/>
          <w:szCs w:val="20"/>
        </w:rPr>
      </w:pPr>
      <w:r>
        <w:rPr>
          <w:rFonts w:eastAsia="Times New Roman" w:cs="Times New Roman" w:ascii="Times New Roman" w:hAnsi="Times New Roman"/>
          <w:sz w:val="24"/>
          <w:szCs w:val="20"/>
        </w:rPr>
      </w:r>
    </w:p>
    <w:p>
      <w:pPr>
        <w:pStyle w:val="Normal"/>
        <w:spacing w:lineRule="auto" w:line="240" w:before="0" w:after="0"/>
        <w:jc w:val="right"/>
        <w:rPr>
          <w:rFonts w:ascii="Times New Roman" w:hAnsi="Times New Roman" w:eastAsia="Times New Roman" w:cs="Times New Roman"/>
          <w:szCs w:val="20"/>
        </w:rPr>
      </w:pPr>
      <w:r>
        <w:rPr>
          <w:rFonts w:eastAsia="Times New Roman" w:cs="Times New Roman" w:ascii="Times New Roman" w:hAnsi="Times New Roman"/>
          <w:szCs w:val="20"/>
        </w:rPr>
      </w:r>
    </w:p>
    <w:p>
      <w:pPr>
        <w:pStyle w:val="Normal"/>
        <w:tabs>
          <w:tab w:val="clear" w:pos="1296"/>
          <w:tab w:val="center" w:pos="2520" w:leader="none"/>
        </w:tabs>
        <w:spacing w:lineRule="auto" w:line="240" w:before="0" w:after="0"/>
        <w:jc w:val="both"/>
        <w:rPr>
          <w:rFonts w:ascii="Times New Roman" w:hAnsi="Times New Roman" w:eastAsia="Times New Roman" w:cs="Times New Roman"/>
          <w:szCs w:val="20"/>
        </w:rPr>
      </w:pPr>
      <w:r>
        <w:rPr>
          <w:rFonts w:eastAsia="Times New Roman" w:cs="Times New Roman" w:ascii="Times New Roman" w:hAnsi="Times New Roman"/>
          <w:szCs w:val="20"/>
        </w:rPr>
        <w:t>Prienų rajono savivaldybės administracijai</w:t>
      </w:r>
    </w:p>
    <w:p>
      <w:pPr>
        <w:pStyle w:val="Linija"/>
        <w:spacing w:beforeAutospacing="0" w:before="0" w:afterAutospacing="0" w:after="0"/>
        <w:ind w:firstLine="6521"/>
        <w:jc w:val="both"/>
        <w:rPr>
          <w:bCs/>
        </w:rPr>
      </w:pPr>
      <w:r>
        <w:rPr>
          <w:bCs/>
        </w:rPr>
      </w:r>
    </w:p>
    <w:p>
      <w:pPr>
        <w:pStyle w:val="Normal"/>
        <w:spacing w:lineRule="auto" w:line="240" w:before="0" w:after="0"/>
        <w:rPr>
          <w:rFonts w:ascii="Times New Roman" w:hAnsi="Times New Roman" w:eastAsia="Times New Roman" w:cs="Times New Roman"/>
          <w:szCs w:val="24"/>
        </w:rPr>
      </w:pPr>
      <w:r>
        <w:rPr>
          <w:rFonts w:eastAsia="Times New Roman" w:cs="Times New Roman" w:ascii="Times New Roman" w:hAnsi="Times New Roman"/>
          <w:szCs w:val="24"/>
        </w:rPr>
      </w:r>
    </w:p>
    <w:p>
      <w:pPr>
        <w:pStyle w:val="Normal"/>
        <w:spacing w:lineRule="auto" w:line="240" w:before="0" w:after="0"/>
        <w:jc w:val="center"/>
        <w:rPr>
          <w:rFonts w:ascii="Times New Roman" w:hAnsi="Times New Roman" w:eastAsia="Calibri" w:cs="Times New Roman"/>
          <w:b/>
          <w:szCs w:val="24"/>
        </w:rPr>
      </w:pPr>
      <w:r>
        <w:rPr>
          <w:rFonts w:cs="Times New Roman" w:ascii="Times New Roman" w:hAnsi="Times New Roman"/>
          <w:b/>
          <w:szCs w:val="24"/>
        </w:rPr>
        <w:t>PASIŪLYMAS</w:t>
      </w:r>
    </w:p>
    <w:p>
      <w:pPr>
        <w:pStyle w:val="Normal"/>
        <w:spacing w:lineRule="auto" w:line="240" w:before="0" w:after="0"/>
        <w:jc w:val="center"/>
        <w:rPr>
          <w:rFonts w:ascii="Times New Roman" w:hAnsi="Times New Roman" w:cs="Times New Roman"/>
          <w:b/>
          <w:i/>
          <w:i/>
          <w:szCs w:val="24"/>
          <w:lang w:eastAsia="lt-LT"/>
        </w:rPr>
      </w:pPr>
      <w:r>
        <w:rPr>
          <w:rFonts w:cs="Times New Roman" w:ascii="Times New Roman" w:hAnsi="Times New Roman"/>
          <w:b/>
          <w:szCs w:val="24"/>
        </w:rPr>
        <w:t xml:space="preserve">DĖL SOCIALINIŲ PASLAUGŲ (SOCIALINIŲ KORTELIŲ GAMINIMO IR APTARNAVIMO </w:t>
      </w:r>
      <w:r>
        <w:rPr>
          <w:rFonts w:eastAsia="Times New Roman" w:cs="Times New Roman" w:ascii="Times New Roman" w:hAnsi="Times New Roman"/>
          <w:b/>
          <w:bCs/>
          <w:szCs w:val="24"/>
        </w:rPr>
        <w:t xml:space="preserve">PASLAUGŲ) </w:t>
      </w:r>
      <w:r>
        <w:rPr>
          <w:rFonts w:eastAsia="Times New Roman" w:cs="Times New Roman" w:ascii="Times New Roman" w:hAnsi="Times New Roman"/>
          <w:b/>
          <w:szCs w:val="24"/>
        </w:rPr>
        <w:t>PIRKIMO</w:t>
      </w:r>
    </w:p>
    <w:p>
      <w:pPr>
        <w:pStyle w:val="Normal"/>
        <w:shd w:val="clear" w:color="auto" w:fill="FFFFFF"/>
        <w:spacing w:lineRule="auto" w:line="240" w:before="0" w:after="0"/>
        <w:jc w:val="center"/>
        <w:rPr>
          <w:rFonts w:ascii="Times New Roman" w:hAnsi="Times New Roman" w:cs="Times New Roman"/>
          <w:b/>
          <w:bCs/>
          <w:szCs w:val="24"/>
          <w:lang w:eastAsia="en-US"/>
        </w:rPr>
      </w:pPr>
      <w:r>
        <w:rPr>
          <w:rFonts w:cs="Times New Roman" w:ascii="Times New Roman" w:hAnsi="Times New Roman"/>
          <w:szCs w:val="24"/>
        </w:rPr>
        <w:t>____________Nr.______</w:t>
      </w:r>
    </w:p>
    <w:p>
      <w:pPr>
        <w:pStyle w:val="Normal"/>
        <w:shd w:val="clear" w:color="auto" w:fill="FFFFFF"/>
        <w:spacing w:lineRule="auto" w:line="240" w:before="0" w:after="0"/>
        <w:jc w:val="center"/>
        <w:rPr>
          <w:rFonts w:ascii="Times New Roman" w:hAnsi="Times New Roman" w:cs="Times New Roman"/>
          <w:bCs/>
          <w:szCs w:val="24"/>
        </w:rPr>
      </w:pPr>
      <w:r>
        <w:rPr>
          <w:rFonts w:cs="Times New Roman" w:ascii="Times New Roman" w:hAnsi="Times New Roman"/>
          <w:bCs/>
          <w:szCs w:val="24"/>
        </w:rPr>
        <w:t>(Data)</w:t>
      </w:r>
    </w:p>
    <w:p>
      <w:pPr>
        <w:pStyle w:val="Normal"/>
        <w:shd w:val="clear" w:color="auto" w:fill="FFFFFF"/>
        <w:spacing w:lineRule="auto" w:line="240" w:before="0" w:after="0"/>
        <w:jc w:val="center"/>
        <w:rPr>
          <w:rFonts w:ascii="Times New Roman" w:hAnsi="Times New Roman" w:cs="Times New Roman"/>
          <w:bCs/>
          <w:szCs w:val="24"/>
        </w:rPr>
      </w:pPr>
      <w:r>
        <w:rPr>
          <w:rFonts w:cs="Times New Roman" w:ascii="Times New Roman" w:hAnsi="Times New Roman"/>
          <w:bCs/>
          <w:szCs w:val="24"/>
        </w:rPr>
      </w:r>
    </w:p>
    <w:tbl>
      <w:tblPr>
        <w:tblpPr w:vertAnchor="text" w:horzAnchor="margin" w:tblpXSpec="center" w:leftFromText="180" w:rightFromText="180" w:tblpY="94"/>
        <w:tblW w:w="10035" w:type="dxa"/>
        <w:jc w:val="center"/>
        <w:tblInd w:w="0" w:type="dxa"/>
        <w:tblLayout w:type="fixed"/>
        <w:tblCellMar>
          <w:top w:w="0" w:type="dxa"/>
          <w:left w:w="108" w:type="dxa"/>
          <w:bottom w:w="0" w:type="dxa"/>
          <w:right w:w="108" w:type="dxa"/>
        </w:tblCellMar>
        <w:tblLook w:val="04a0"/>
      </w:tblPr>
      <w:tblGrid>
        <w:gridCol w:w="5248"/>
        <w:gridCol w:w="4786"/>
      </w:tblGrid>
      <w:tr>
        <w:trPr/>
        <w:tc>
          <w:tcPr>
            <w:tcW w:w="524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Calibri" w:cs="Times New Roman"/>
                <w:i/>
                <w:i/>
                <w:sz w:val="24"/>
                <w:szCs w:val="24"/>
                <w:lang w:val="lt-LT" w:eastAsia="en-US"/>
              </w:rPr>
            </w:pPr>
            <w:r>
              <w:rPr>
                <w:rFonts w:cs="Times New Roman" w:ascii="Times New Roman" w:hAnsi="Times New Roman"/>
                <w:szCs w:val="24"/>
              </w:rPr>
              <w:t>Tiekėjo pavadinimas</w:t>
            </w:r>
          </w:p>
        </w:tc>
        <w:tc>
          <w:tcPr>
            <w:tcW w:w="47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r>
      <w:tr>
        <w:trPr/>
        <w:tc>
          <w:tcPr>
            <w:tcW w:w="524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cs="Times New Roman" w:ascii="Times New Roman" w:hAnsi="Times New Roman"/>
                <w:szCs w:val="24"/>
              </w:rPr>
              <w:t>Tiekėjo adresas</w:t>
            </w:r>
          </w:p>
        </w:tc>
        <w:tc>
          <w:tcPr>
            <w:tcW w:w="47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lineRule="auto" w:line="240" w:before="0" w:after="0"/>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r>
      <w:tr>
        <w:trPr/>
        <w:tc>
          <w:tcPr>
            <w:tcW w:w="524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cs="Times New Roman" w:ascii="Times New Roman" w:hAnsi="Times New Roman"/>
                <w:szCs w:val="24"/>
              </w:rPr>
              <w:t>Už pasiūlymą atsakingo asmens vardas, pavardė</w:t>
            </w:r>
          </w:p>
        </w:tc>
        <w:tc>
          <w:tcPr>
            <w:tcW w:w="47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r>
      <w:tr>
        <w:trPr/>
        <w:tc>
          <w:tcPr>
            <w:tcW w:w="524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cs="Times New Roman" w:ascii="Times New Roman" w:hAnsi="Times New Roman"/>
                <w:szCs w:val="24"/>
              </w:rPr>
              <w:t>Telefono numeris</w:t>
            </w:r>
          </w:p>
        </w:tc>
        <w:tc>
          <w:tcPr>
            <w:tcW w:w="47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r>
      <w:tr>
        <w:trPr/>
        <w:tc>
          <w:tcPr>
            <w:tcW w:w="524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cs="Times New Roman" w:ascii="Times New Roman" w:hAnsi="Times New Roman"/>
                <w:szCs w:val="24"/>
              </w:rPr>
              <w:t>El. pašto adresas</w:t>
            </w:r>
          </w:p>
        </w:tc>
        <w:tc>
          <w:tcPr>
            <w:tcW w:w="47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r>
    </w:tbl>
    <w:p>
      <w:pPr>
        <w:pStyle w:val="Normal"/>
        <w:spacing w:lineRule="auto" w:line="240" w:before="0" w:after="0"/>
        <w:jc w:val="both"/>
        <w:rPr>
          <w:rFonts w:ascii="Times New Roman" w:hAnsi="Times New Roman" w:eastAsia="Calibri" w:cs="Times New Roman"/>
          <w:szCs w:val="24"/>
          <w:lang w:val="lt-LT" w:eastAsia="en-US"/>
        </w:rPr>
      </w:pPr>
      <w:r>
        <w:rPr>
          <w:rFonts w:eastAsia="Calibri" w:cs="Times New Roman" w:ascii="Times New Roman" w:hAnsi="Times New Roman"/>
          <w:szCs w:val="24"/>
          <w:lang w:val="lt-LT" w:eastAsia="en-US"/>
        </w:rPr>
      </w:r>
    </w:p>
    <w:p>
      <w:pPr>
        <w:pStyle w:val="Normal"/>
        <w:widowControl w:val="false"/>
        <w:numPr>
          <w:ilvl w:val="0"/>
          <w:numId w:val="21"/>
        </w:numPr>
        <w:tabs>
          <w:tab w:val="clear" w:pos="1296"/>
          <w:tab w:val="left" w:pos="851" w:leader="none"/>
        </w:tabs>
        <w:suppressAutoHyphens w:val="true"/>
        <w:spacing w:lineRule="auto" w:line="240" w:before="0" w:after="0"/>
        <w:ind w:firstLine="540" w:left="0"/>
        <w:jc w:val="both"/>
        <w:rPr>
          <w:rFonts w:ascii="Times New Roman" w:hAnsi="Times New Roman" w:cs="Times New Roman"/>
        </w:rPr>
      </w:pPr>
      <w:r>
        <w:rPr>
          <w:rFonts w:cs="Times New Roman" w:ascii="Times New Roman" w:hAnsi="Times New Roman"/>
          <w:iCs/>
        </w:rPr>
        <w:t>Pranešame, kad esame suinteresuoti pateikti šį pasiūlymą ir sudaryti sutartį</w:t>
      </w:r>
      <w:r>
        <w:rPr>
          <w:rFonts w:cs="Times New Roman" w:ascii="Times New Roman" w:hAnsi="Times New Roman"/>
        </w:rPr>
        <w:t>. Šiuo pasiūlymu pažymime, kad sutinkame su visomis pirkimo sąlygomis, nustatytomis pirkimo apklausos būdu sąlygose bei jų prieduose.</w:t>
      </w:r>
    </w:p>
    <w:p>
      <w:pPr>
        <w:pStyle w:val="Normal"/>
        <w:tabs>
          <w:tab w:val="clear" w:pos="1296"/>
          <w:tab w:val="left" w:pos="851" w:leader="none"/>
        </w:tabs>
        <w:spacing w:lineRule="auto" w:line="240" w:before="0" w:after="0"/>
        <w:ind w:firstLine="540"/>
        <w:jc w:val="both"/>
        <w:rPr>
          <w:rFonts w:ascii="Times New Roman" w:hAnsi="Times New Roman" w:cs="Times New Roman"/>
        </w:rPr>
      </w:pPr>
      <w:r>
        <w:rPr>
          <w:rFonts w:cs="Times New Roman" w:ascii="Times New Roman" w:hAnsi="Times New Roman"/>
          <w:iCs/>
        </w:rPr>
        <w:t>2. Pareiškiame, kad šis pirkimo pasiūlymas parengtas nesinaudojant ryšiais, žiniomis, suderintais duomenimis ar susitarimu su kitais ūkio subjektais, asmenimis, rengiančiais apklausą.</w:t>
      </w:r>
    </w:p>
    <w:p>
      <w:pPr>
        <w:pStyle w:val="Normal"/>
        <w:tabs>
          <w:tab w:val="clear" w:pos="1296"/>
          <w:tab w:val="left" w:pos="851" w:leader="none"/>
        </w:tabs>
        <w:spacing w:lineRule="auto" w:line="240" w:before="0" w:after="0"/>
        <w:ind w:firstLine="540"/>
        <w:jc w:val="both"/>
        <w:rPr>
          <w:rFonts w:ascii="Times New Roman" w:hAnsi="Times New Roman" w:cs="Times New Roman"/>
        </w:rPr>
      </w:pPr>
      <w:r>
        <w:rPr>
          <w:rFonts w:cs="Times New Roman" w:ascii="Times New Roman" w:hAnsi="Times New Roman"/>
        </w:rPr>
        <w:t xml:space="preserve">Taip pat patvirtiname, kad visa mūsų pasiūlyme pateikta informacija yra teisinga ir kad mes nenuslėpėme jokios informacijos, kurią buvo prašoma pateikti pirkimo dokumentuose. </w:t>
      </w:r>
    </w:p>
    <w:p>
      <w:pPr>
        <w:pStyle w:val="Normal"/>
        <w:tabs>
          <w:tab w:val="clear" w:pos="1296"/>
          <w:tab w:val="left" w:pos="851" w:leader="none"/>
        </w:tabs>
        <w:spacing w:lineRule="auto" w:line="240" w:before="0" w:after="0"/>
        <w:ind w:firstLine="540"/>
        <w:jc w:val="both"/>
        <w:rPr>
          <w:rFonts w:ascii="Times New Roman" w:hAnsi="Times New Roman" w:cs="Times New Roman"/>
        </w:rPr>
      </w:pPr>
      <w:r>
        <w:rPr>
          <w:rFonts w:cs="Times New Roman" w:ascii="Times New Roman" w:hAnsi="Times New Roman"/>
        </w:rPr>
        <w:t>Taip pat patvirtiname, kad nedalyvavome rengiant pirkimo dokumentus, o taip pat nesame susiję su jokia kita šiame pirkime dalyvaujančia įmone ar kita suinteresuota šalimi.</w:t>
      </w:r>
    </w:p>
    <w:p>
      <w:pPr>
        <w:pStyle w:val="Normal"/>
        <w:spacing w:lineRule="auto" w:line="240" w:before="0" w:after="0"/>
        <w:ind w:firstLine="540"/>
        <w:jc w:val="both"/>
        <w:rPr>
          <w:rFonts w:ascii="Times New Roman" w:hAnsi="Times New Roman" w:cs="Times New Roman"/>
          <w:szCs w:val="24"/>
        </w:rPr>
      </w:pPr>
      <w:r>
        <w:rPr>
          <w:rFonts w:eastAsia="Times New Roman" w:cs="Times New Roman" w:ascii="Times New Roman" w:hAnsi="Times New Roman"/>
          <w:szCs w:val="24"/>
        </w:rPr>
        <w:t>3. Išnagrinėję pirkimo dokumentus, mes siūlome pagaminti ir aptarnauti socialines korteles ir tiekti nurodytas prekes:</w:t>
      </w:r>
    </w:p>
    <w:p>
      <w:pPr>
        <w:pStyle w:val="Normal"/>
        <w:spacing w:lineRule="auto" w:line="240" w:before="0" w:after="0"/>
        <w:jc w:val="both"/>
        <w:rPr>
          <w:rFonts w:ascii="Times New Roman" w:hAnsi="Times New Roman" w:eastAsia="Times New Roman" w:cs="Times New Roman"/>
          <w:szCs w:val="24"/>
        </w:rPr>
      </w:pPr>
      <w:r>
        <w:rPr>
          <w:rFonts w:eastAsia="Times New Roman" w:cs="Times New Roman" w:ascii="Times New Roman" w:hAnsi="Times New Roman"/>
          <w:szCs w:val="24"/>
        </w:rPr>
      </w:r>
    </w:p>
    <w:tbl>
      <w:tblPr>
        <w:tblW w:w="9747" w:type="dxa"/>
        <w:jc w:val="left"/>
        <w:tblInd w:w="113" w:type="dxa"/>
        <w:tblLayout w:type="fixed"/>
        <w:tblCellMar>
          <w:top w:w="0" w:type="dxa"/>
          <w:left w:w="108" w:type="dxa"/>
          <w:bottom w:w="0" w:type="dxa"/>
          <w:right w:w="108" w:type="dxa"/>
        </w:tblCellMar>
        <w:tblLook w:val="01e0"/>
      </w:tblPr>
      <w:tblGrid>
        <w:gridCol w:w="603"/>
        <w:gridCol w:w="4892"/>
        <w:gridCol w:w="4252"/>
      </w:tblGrid>
      <w:tr>
        <w:trPr>
          <w:trHeight w:val="838" w:hRule="atLeast"/>
        </w:trPr>
        <w:tc>
          <w:tcPr>
            <w:tcW w:w="603"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1296"/>
                <w:tab w:val="left" w:pos="1298" w:leader="none"/>
              </w:tabs>
              <w:spacing w:lineRule="auto" w:line="240" w:before="0" w:after="0"/>
              <w:rPr>
                <w:rFonts w:ascii="Times New Roman" w:hAnsi="Times New Roman" w:eastAsia="Times New Roman" w:cs="Times New Roman"/>
                <w:sz w:val="24"/>
                <w:szCs w:val="24"/>
                <w:lang w:val="lt-LT" w:eastAsia="lt-LT"/>
              </w:rPr>
            </w:pPr>
            <w:r>
              <w:rPr>
                <w:rFonts w:eastAsia="Times New Roman" w:cs="Times New Roman" w:ascii="Times New Roman" w:hAnsi="Times New Roman"/>
                <w:szCs w:val="24"/>
                <w:lang w:eastAsia="lt-LT"/>
              </w:rPr>
              <w:t>Eil. Nr.</w:t>
            </w:r>
          </w:p>
        </w:tc>
        <w:tc>
          <w:tcPr>
            <w:tcW w:w="489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1296"/>
                <w:tab w:val="left" w:pos="1298" w:leader="none"/>
              </w:tabs>
              <w:spacing w:lineRule="auto" w:line="240" w:before="0" w:after="0"/>
              <w:rPr>
                <w:rFonts w:ascii="Times New Roman" w:hAnsi="Times New Roman" w:eastAsia="Times New Roman" w:cs="Times New Roman"/>
                <w:sz w:val="24"/>
                <w:szCs w:val="24"/>
                <w:lang w:val="lt-LT" w:eastAsia="lt-LT"/>
              </w:rPr>
            </w:pPr>
            <w:r>
              <w:rPr>
                <w:rFonts w:eastAsia="Times New Roman" w:cs="Times New Roman" w:ascii="Times New Roman" w:hAnsi="Times New Roman"/>
                <w:szCs w:val="24"/>
                <w:lang w:eastAsia="lt-LT"/>
              </w:rPr>
              <w:t>Prekių grupės pavadinimas</w:t>
            </w:r>
          </w:p>
        </w:tc>
        <w:tc>
          <w:tcPr>
            <w:tcW w:w="4252"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1298" w:leader="none"/>
              </w:tabs>
              <w:spacing w:lineRule="auto" w:line="240" w:before="0" w:after="0"/>
              <w:jc w:val="center"/>
              <w:rPr>
                <w:rFonts w:ascii="Times New Roman" w:hAnsi="Times New Roman" w:eastAsia="Times New Roman" w:cs="Times New Roman"/>
                <w:sz w:val="24"/>
                <w:szCs w:val="24"/>
                <w:lang w:eastAsia="lt-LT"/>
              </w:rPr>
            </w:pPr>
            <w:r>
              <w:rPr>
                <w:rFonts w:eastAsia="Times New Roman" w:cs="Times New Roman" w:ascii="Times New Roman" w:hAnsi="Times New Roman"/>
                <w:szCs w:val="24"/>
                <w:lang w:eastAsia="lt-LT"/>
              </w:rPr>
              <w:t>Taip/Ne</w:t>
            </w:r>
          </w:p>
          <w:p>
            <w:pPr>
              <w:pStyle w:val="Normal"/>
              <w:tabs>
                <w:tab w:val="clear" w:pos="1296"/>
                <w:tab w:val="left" w:pos="1298" w:leader="none"/>
              </w:tabs>
              <w:spacing w:lineRule="auto" w:line="240" w:before="0" w:after="0"/>
              <w:jc w:val="center"/>
              <w:rPr>
                <w:rFonts w:ascii="Times New Roman" w:hAnsi="Times New Roman" w:eastAsia="Times New Roman" w:cs="Times New Roman"/>
                <w:sz w:val="24"/>
                <w:szCs w:val="24"/>
                <w:lang w:val="lt-LT" w:eastAsia="lt-LT"/>
              </w:rPr>
            </w:pPr>
            <w:r>
              <w:rPr>
                <w:rFonts w:eastAsia="Times New Roman" w:cs="Times New Roman" w:ascii="Times New Roman" w:hAnsi="Times New Roman"/>
                <w:szCs w:val="24"/>
                <w:lang w:eastAsia="lt-LT"/>
              </w:rPr>
              <w:t>(Prekybos centre esamos prekės)</w:t>
            </w:r>
          </w:p>
        </w:tc>
      </w:tr>
      <w:tr>
        <w:trPr/>
        <w:tc>
          <w:tcPr>
            <w:tcW w:w="603"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1298" w:leader="none"/>
              </w:tabs>
              <w:spacing w:lineRule="auto" w:line="240" w:before="0" w:after="0"/>
              <w:jc w:val="center"/>
              <w:rPr>
                <w:rFonts w:ascii="Times New Roman" w:hAnsi="Times New Roman" w:eastAsia="Times New Roman" w:cs="Times New Roman"/>
                <w:b/>
                <w:sz w:val="24"/>
                <w:szCs w:val="24"/>
                <w:lang w:val="lt-LT" w:eastAsia="lt-LT"/>
              </w:rPr>
            </w:pPr>
            <w:r>
              <w:rPr>
                <w:rFonts w:eastAsia="Times New Roman" w:cs="Times New Roman" w:ascii="Times New Roman" w:hAnsi="Times New Roman"/>
                <w:b/>
                <w:szCs w:val="24"/>
                <w:lang w:eastAsia="lt-LT"/>
              </w:rPr>
              <w:t>1.</w:t>
            </w:r>
          </w:p>
        </w:tc>
        <w:tc>
          <w:tcPr>
            <w:tcW w:w="4892"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spacing w:lineRule="auto" w:line="240" w:before="0" w:after="0"/>
              <w:ind w:hanging="0" w:left="0"/>
              <w:jc w:val="both"/>
              <w:outlineLvl w:val="0"/>
              <w:rPr>
                <w:rFonts w:ascii="Times New Roman" w:hAnsi="Times New Roman" w:eastAsia="Times New Roman" w:cs="Times New Roman"/>
                <w:b/>
                <w:sz w:val="24"/>
                <w:szCs w:val="24"/>
                <w:lang w:eastAsia="lt-LT"/>
              </w:rPr>
            </w:pPr>
            <w:r>
              <w:rPr>
                <w:rFonts w:eastAsia="Times New Roman" w:cs="Times New Roman" w:ascii="Times New Roman" w:hAnsi="Times New Roman"/>
                <w:b/>
                <w:szCs w:val="24"/>
                <w:lang w:eastAsia="lt-LT"/>
              </w:rPr>
              <w:t>Maisto prekės</w:t>
            </w:r>
          </w:p>
          <w:p>
            <w:pPr>
              <w:pStyle w:val="Normal"/>
              <w:spacing w:lineRule="auto" w:line="240" w:before="0" w:after="0"/>
              <w:jc w:val="both"/>
              <w:rPr>
                <w:rFonts w:ascii="Times New Roman" w:hAnsi="Times New Roman" w:eastAsia="Times New Roman" w:cs="Times New Roman"/>
                <w:sz w:val="24"/>
                <w:szCs w:val="20"/>
                <w:lang w:val="lt-LT" w:eastAsia="en-US"/>
              </w:rPr>
            </w:pPr>
            <w:r>
              <w:rPr>
                <w:rFonts w:eastAsia="Times New Roman" w:cs="Times New Roman" w:ascii="Times New Roman" w:hAnsi="Times New Roman"/>
                <w:szCs w:val="20"/>
              </w:rPr>
              <w:t>Kiaušiniai, įvairių rūšių: pienas, grietinė, varškė, glaistyti varškės sūreliai, jogurtas, kefyras, pasukos, varškės sūris, fermentinis sūris, lydytas tepamasis sūrelis, tepamas varškės sūris, sviestas, majonezas, margarinas, virta, karštai ir šaltai rūkyta dešra ir dešrelės, kumpiai, faršas, šaldyta, šviežia, kepta, šaltai ir karštai rūkyta kiauliena, vištiena, kalakutiena, jautiena ir jos gaminai, šviežia, šaldyta, sūdyta, kepta, karštai, šaltai rūkyta žuvis ir jos gaminiai, įvairių rūšių silkė, žuvų konservai, įvairių rūšių virtas ir keptas paštetas, šaltiena,  įvairių rūšių vyniotiniai, konservuoti vaisiai ir daržovės,  juoda ir balta duona, batonas, meduoliai, sausainiai, javinukai, saldumynai, įvairių rūšių švieži vaisiai ir daržovės, įvairių rūšių šaldyti vaisiai ir daržovės, cukrus, įvairių rūšių kruopos, įvairių rūšių miltai, druska, kepimo milteliai, mielės, želė, įvairių rūšių prieskoniai, įvairių rūšių arbata, kava, kavos gėrimai, ledai, virtiniai, koldūnai, kūdikių maistas, pieno mišiniai kūdikiams ir analogiškos prekės.</w:t>
            </w:r>
          </w:p>
        </w:tc>
        <w:tc>
          <w:tcPr>
            <w:tcW w:w="4252"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1298" w:leader="none"/>
              </w:tabs>
              <w:spacing w:lineRule="auto" w:line="240" w:before="0" w:after="0"/>
              <w:jc w:val="center"/>
              <w:rPr>
                <w:rFonts w:ascii="Times New Roman" w:hAnsi="Times New Roman" w:eastAsia="Times New Roman" w:cs="Times New Roman"/>
                <w:sz w:val="24"/>
                <w:szCs w:val="24"/>
                <w:lang w:val="lt-LT" w:eastAsia="lt-LT"/>
              </w:rPr>
            </w:pPr>
            <w:r>
              <w:rPr>
                <w:rFonts w:eastAsia="Times New Roman" w:cs="Times New Roman" w:ascii="Times New Roman" w:hAnsi="Times New Roman"/>
                <w:sz w:val="24"/>
                <w:szCs w:val="24"/>
                <w:lang w:val="lt-LT" w:eastAsia="lt-LT"/>
              </w:rPr>
            </w:r>
          </w:p>
        </w:tc>
      </w:tr>
      <w:tr>
        <w:trPr/>
        <w:tc>
          <w:tcPr>
            <w:tcW w:w="603"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1298" w:leader="none"/>
              </w:tabs>
              <w:spacing w:lineRule="auto" w:line="240" w:before="0" w:after="0"/>
              <w:jc w:val="both"/>
              <w:rPr>
                <w:rFonts w:ascii="Times New Roman" w:hAnsi="Times New Roman" w:eastAsia="Times New Roman" w:cs="Times New Roman"/>
                <w:b/>
                <w:sz w:val="24"/>
                <w:szCs w:val="24"/>
                <w:lang w:val="lt-LT" w:eastAsia="lt-LT"/>
              </w:rPr>
            </w:pPr>
            <w:r>
              <w:rPr>
                <w:rFonts w:eastAsia="Times New Roman" w:cs="Times New Roman" w:ascii="Times New Roman" w:hAnsi="Times New Roman"/>
                <w:b/>
                <w:szCs w:val="24"/>
                <w:lang w:eastAsia="lt-LT"/>
              </w:rPr>
              <w:t>2.</w:t>
            </w:r>
          </w:p>
        </w:tc>
        <w:tc>
          <w:tcPr>
            <w:tcW w:w="4892"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spacing w:lineRule="auto" w:line="240" w:before="0" w:after="0"/>
              <w:ind w:hanging="0" w:left="0"/>
              <w:outlineLvl w:val="0"/>
              <w:rPr>
                <w:rFonts w:ascii="Times New Roman" w:hAnsi="Times New Roman" w:eastAsia="Times New Roman" w:cs="Times New Roman"/>
                <w:b/>
                <w:sz w:val="24"/>
                <w:szCs w:val="24"/>
                <w:lang w:eastAsia="lt-LT"/>
              </w:rPr>
            </w:pPr>
            <w:r>
              <w:rPr>
                <w:rFonts w:eastAsia="Times New Roman" w:cs="Times New Roman" w:ascii="Times New Roman" w:hAnsi="Times New Roman"/>
                <w:b/>
                <w:szCs w:val="24"/>
                <w:lang w:eastAsia="lt-LT"/>
              </w:rPr>
              <w:t>Drabužiai kūdikiams, vaikams ir suaugusiems asmenims</w:t>
            </w:r>
          </w:p>
          <w:p>
            <w:pPr>
              <w:pStyle w:val="Normal"/>
              <w:spacing w:lineRule="auto" w:line="240" w:before="0" w:after="0"/>
              <w:jc w:val="both"/>
              <w:rPr>
                <w:rFonts w:ascii="Times New Roman" w:hAnsi="Times New Roman" w:eastAsia="Times New Roman" w:cs="Times New Roman"/>
                <w:sz w:val="24"/>
                <w:szCs w:val="20"/>
                <w:lang w:val="lt-LT" w:eastAsia="en-US"/>
              </w:rPr>
            </w:pPr>
            <w:r>
              <w:rPr>
                <w:rFonts w:eastAsia="Times New Roman" w:cs="Times New Roman" w:ascii="Times New Roman" w:hAnsi="Times New Roman"/>
                <w:szCs w:val="20"/>
              </w:rPr>
              <w:t>Įvairių rūšių: apatiniai drabužiai, miego drabužiai, puskojinės, pėdkelnės, viršutiniai drabužiai kūdikiams, vaikams ir suaugusiems: kelnės, sijonai, suknelės, palaidinės, liemenės, marškinėliai ir šortai, sportiniai kostiumai, megztiniai, bliuzonai, striukės, paltai, puspalčiai, lietpalčiai, kepurės, pirštinės, šalikai, skarelėsir analogiškos prekės.</w:t>
            </w:r>
          </w:p>
        </w:tc>
        <w:tc>
          <w:tcPr>
            <w:tcW w:w="4252"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1298" w:leader="none"/>
              </w:tabs>
              <w:spacing w:lineRule="auto" w:line="240" w:before="0" w:after="0"/>
              <w:jc w:val="center"/>
              <w:rPr>
                <w:rFonts w:ascii="Times New Roman" w:hAnsi="Times New Roman" w:eastAsia="Times New Roman" w:cs="Times New Roman"/>
                <w:sz w:val="24"/>
                <w:szCs w:val="24"/>
                <w:lang w:val="lt-LT" w:eastAsia="lt-LT"/>
              </w:rPr>
            </w:pPr>
            <w:r>
              <w:rPr>
                <w:rFonts w:eastAsia="Times New Roman" w:cs="Times New Roman" w:ascii="Times New Roman" w:hAnsi="Times New Roman"/>
                <w:sz w:val="24"/>
                <w:szCs w:val="24"/>
                <w:lang w:val="lt-LT" w:eastAsia="lt-LT"/>
              </w:rPr>
            </w:r>
          </w:p>
        </w:tc>
      </w:tr>
      <w:tr>
        <w:trPr/>
        <w:tc>
          <w:tcPr>
            <w:tcW w:w="603"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1298" w:leader="none"/>
              </w:tabs>
              <w:spacing w:lineRule="auto" w:line="240" w:before="0" w:after="0"/>
              <w:jc w:val="both"/>
              <w:rPr>
                <w:rFonts w:ascii="Times New Roman" w:hAnsi="Times New Roman" w:eastAsia="Times New Roman" w:cs="Times New Roman"/>
                <w:b/>
                <w:sz w:val="24"/>
                <w:szCs w:val="24"/>
                <w:lang w:val="lt-LT" w:eastAsia="lt-LT"/>
              </w:rPr>
            </w:pPr>
            <w:r>
              <w:rPr>
                <w:rFonts w:eastAsia="Times New Roman" w:cs="Times New Roman" w:ascii="Times New Roman" w:hAnsi="Times New Roman"/>
                <w:b/>
                <w:szCs w:val="24"/>
                <w:lang w:eastAsia="lt-LT"/>
              </w:rPr>
              <w:t>3.</w:t>
            </w:r>
          </w:p>
        </w:tc>
        <w:tc>
          <w:tcPr>
            <w:tcW w:w="4892"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spacing w:lineRule="auto" w:line="240" w:before="0" w:after="0"/>
              <w:ind w:hanging="0" w:left="0"/>
              <w:outlineLvl w:val="0"/>
              <w:rPr>
                <w:rFonts w:ascii="Times New Roman" w:hAnsi="Times New Roman" w:eastAsia="Times New Roman" w:cs="Times New Roman"/>
                <w:b/>
                <w:sz w:val="24"/>
                <w:szCs w:val="24"/>
                <w:lang w:eastAsia="lt-LT"/>
              </w:rPr>
            </w:pPr>
            <w:r>
              <w:rPr>
                <w:rFonts w:eastAsia="Times New Roman" w:cs="Times New Roman" w:ascii="Times New Roman" w:hAnsi="Times New Roman"/>
                <w:b/>
                <w:szCs w:val="24"/>
                <w:lang w:eastAsia="lt-LT"/>
              </w:rPr>
              <w:t>Avalynė kūdikiams, vaikams ir suaugusiems</w:t>
            </w:r>
          </w:p>
          <w:p>
            <w:pPr>
              <w:pStyle w:val="Normal"/>
              <w:spacing w:lineRule="auto" w:line="240" w:before="0" w:after="0"/>
              <w:jc w:val="both"/>
              <w:rPr>
                <w:rFonts w:ascii="Times New Roman" w:hAnsi="Times New Roman" w:eastAsia="Times New Roman" w:cs="Times New Roman"/>
                <w:sz w:val="24"/>
                <w:szCs w:val="20"/>
                <w:lang w:val="lt-LT" w:eastAsia="en-US"/>
              </w:rPr>
            </w:pPr>
            <w:r>
              <w:rPr>
                <w:rFonts w:eastAsia="Times New Roman" w:cs="Times New Roman" w:ascii="Times New Roman" w:hAnsi="Times New Roman"/>
                <w:szCs w:val="20"/>
              </w:rPr>
              <w:t>Įvairių rūšių basutės, sportinė ir laisvalaikio avalynė, pusbačiai, guminiai batai, ilgaauliai ir trumpaauliai batai, šlepetės, analogiškos prekės.</w:t>
            </w:r>
          </w:p>
        </w:tc>
        <w:tc>
          <w:tcPr>
            <w:tcW w:w="4252"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1298" w:leader="none"/>
              </w:tabs>
              <w:spacing w:lineRule="auto" w:line="240" w:before="0" w:after="0"/>
              <w:jc w:val="center"/>
              <w:rPr>
                <w:rFonts w:ascii="Times New Roman" w:hAnsi="Times New Roman" w:eastAsia="Times New Roman" w:cs="Times New Roman"/>
                <w:sz w:val="24"/>
                <w:szCs w:val="24"/>
                <w:lang w:val="lt-LT" w:eastAsia="lt-LT"/>
              </w:rPr>
            </w:pPr>
            <w:r>
              <w:rPr>
                <w:rFonts w:eastAsia="Times New Roman" w:cs="Times New Roman" w:ascii="Times New Roman" w:hAnsi="Times New Roman"/>
                <w:sz w:val="24"/>
                <w:szCs w:val="24"/>
                <w:lang w:val="lt-LT" w:eastAsia="lt-LT"/>
              </w:rPr>
            </w:r>
          </w:p>
        </w:tc>
      </w:tr>
      <w:tr>
        <w:trPr/>
        <w:tc>
          <w:tcPr>
            <w:tcW w:w="603"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1298" w:leader="none"/>
              </w:tabs>
              <w:spacing w:lineRule="auto" w:line="240" w:before="0" w:after="0"/>
              <w:jc w:val="both"/>
              <w:rPr>
                <w:rFonts w:ascii="Times New Roman" w:hAnsi="Times New Roman" w:eastAsia="Times New Roman" w:cs="Times New Roman"/>
                <w:b/>
                <w:sz w:val="24"/>
                <w:szCs w:val="24"/>
                <w:lang w:val="lt-LT" w:eastAsia="lt-LT"/>
              </w:rPr>
            </w:pPr>
            <w:r>
              <w:rPr>
                <w:rFonts w:eastAsia="Times New Roman" w:cs="Times New Roman" w:ascii="Times New Roman" w:hAnsi="Times New Roman"/>
                <w:b/>
                <w:szCs w:val="24"/>
                <w:lang w:eastAsia="lt-LT"/>
              </w:rPr>
              <w:t>4.</w:t>
            </w:r>
          </w:p>
        </w:tc>
        <w:tc>
          <w:tcPr>
            <w:tcW w:w="4892"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spacing w:lineRule="auto" w:line="240" w:before="0" w:after="0"/>
              <w:ind w:hanging="0" w:left="0"/>
              <w:outlineLvl w:val="0"/>
              <w:rPr>
                <w:rFonts w:ascii="Times New Roman" w:hAnsi="Times New Roman" w:eastAsia="Times New Roman" w:cs="Times New Roman"/>
                <w:b/>
                <w:sz w:val="24"/>
                <w:szCs w:val="24"/>
                <w:lang w:eastAsia="lt-LT"/>
              </w:rPr>
            </w:pPr>
            <w:r>
              <w:rPr>
                <w:rFonts w:eastAsia="Times New Roman" w:cs="Times New Roman" w:ascii="Times New Roman" w:hAnsi="Times New Roman"/>
                <w:b/>
                <w:szCs w:val="24"/>
                <w:lang w:eastAsia="lt-LT"/>
              </w:rPr>
              <w:t>Asmens higienos prekės kūdikiams, vaikams ir suaugusiems</w:t>
            </w:r>
          </w:p>
          <w:p>
            <w:pPr>
              <w:pStyle w:val="Normal"/>
              <w:keepNext w:val="true"/>
              <w:numPr>
                <w:ilvl w:val="0"/>
                <w:numId w:val="0"/>
              </w:numPr>
              <w:spacing w:lineRule="auto" w:line="240" w:before="0" w:after="0"/>
              <w:ind w:hanging="0" w:left="0"/>
              <w:outlineLvl w:val="0"/>
              <w:rPr>
                <w:rFonts w:ascii="Times New Roman" w:hAnsi="Times New Roman" w:eastAsia="Times New Roman" w:cs="Times New Roman"/>
                <w:sz w:val="24"/>
                <w:szCs w:val="24"/>
                <w:lang w:val="lt-LT" w:eastAsia="lt-LT"/>
              </w:rPr>
            </w:pPr>
            <w:r>
              <w:rPr>
                <w:rFonts w:eastAsia="Times New Roman" w:cs="Times New Roman" w:ascii="Times New Roman" w:hAnsi="Times New Roman"/>
                <w:szCs w:val="20"/>
              </w:rPr>
              <w:t>Įvairių rūšių: muilas, šampūnas, dušo želė, dezodorantai, skalbimo milteliai, dantų pasta, skalbinių minkštiklis, tualetinis popierius, popieriniai rankšluosčiai, buitinė chemija, kosmetikos ir parfumerijos prekės, dantų šepetėliai, burnos skalavimo skystis, kempinės, burnos higienos priemonės, moteriški įklotai, kūdikių higienos prekės, sauskelnės kūdikiams, kūdikių šampūnas, muilas, dušo želė, servetėlės ir analogiškos prekės.</w:t>
            </w:r>
          </w:p>
        </w:tc>
        <w:tc>
          <w:tcPr>
            <w:tcW w:w="4252"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1298" w:leader="none"/>
              </w:tabs>
              <w:spacing w:lineRule="auto" w:line="240" w:before="0" w:after="0"/>
              <w:jc w:val="center"/>
              <w:rPr>
                <w:rFonts w:ascii="Times New Roman" w:hAnsi="Times New Roman" w:eastAsia="Times New Roman" w:cs="Times New Roman"/>
                <w:sz w:val="24"/>
                <w:szCs w:val="24"/>
                <w:lang w:val="lt-LT" w:eastAsia="lt-LT"/>
              </w:rPr>
            </w:pPr>
            <w:r>
              <w:rPr>
                <w:rFonts w:eastAsia="Times New Roman" w:cs="Times New Roman" w:ascii="Times New Roman" w:hAnsi="Times New Roman"/>
                <w:sz w:val="24"/>
                <w:szCs w:val="24"/>
                <w:lang w:val="lt-LT" w:eastAsia="lt-LT"/>
              </w:rPr>
            </w:r>
          </w:p>
        </w:tc>
      </w:tr>
      <w:tr>
        <w:trPr/>
        <w:tc>
          <w:tcPr>
            <w:tcW w:w="603"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1298" w:leader="none"/>
              </w:tabs>
              <w:spacing w:lineRule="auto" w:line="240" w:before="0" w:after="0"/>
              <w:jc w:val="both"/>
              <w:rPr>
                <w:rFonts w:ascii="Times New Roman" w:hAnsi="Times New Roman" w:eastAsia="Times New Roman" w:cs="Times New Roman"/>
                <w:b/>
                <w:sz w:val="24"/>
                <w:szCs w:val="24"/>
                <w:lang w:val="lt-LT" w:eastAsia="lt-LT"/>
              </w:rPr>
            </w:pPr>
            <w:r>
              <w:rPr>
                <w:rFonts w:eastAsia="Times New Roman" w:cs="Times New Roman" w:ascii="Times New Roman" w:hAnsi="Times New Roman"/>
                <w:b/>
                <w:szCs w:val="24"/>
                <w:lang w:eastAsia="lt-LT"/>
              </w:rPr>
              <w:t>5.</w:t>
            </w:r>
          </w:p>
        </w:tc>
        <w:tc>
          <w:tcPr>
            <w:tcW w:w="4892"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spacing w:lineRule="auto" w:line="240" w:before="0" w:after="0"/>
              <w:ind w:hanging="0" w:left="0"/>
              <w:jc w:val="both"/>
              <w:outlineLvl w:val="0"/>
              <w:rPr>
                <w:rFonts w:ascii="Times New Roman" w:hAnsi="Times New Roman" w:eastAsia="Times New Roman" w:cs="Times New Roman"/>
                <w:b/>
                <w:sz w:val="24"/>
                <w:szCs w:val="24"/>
                <w:lang w:eastAsia="lt-LT"/>
              </w:rPr>
            </w:pPr>
            <w:r>
              <w:rPr>
                <w:rFonts w:eastAsia="Times New Roman" w:cs="Times New Roman" w:ascii="Times New Roman" w:hAnsi="Times New Roman"/>
                <w:b/>
                <w:szCs w:val="24"/>
                <w:lang w:eastAsia="lt-LT"/>
              </w:rPr>
              <w:t>Buities prekės</w:t>
            </w:r>
          </w:p>
          <w:p>
            <w:pPr>
              <w:pStyle w:val="Normal"/>
              <w:spacing w:lineRule="auto" w:line="240" w:before="0" w:after="0"/>
              <w:jc w:val="both"/>
              <w:rPr>
                <w:rFonts w:ascii="Times New Roman" w:hAnsi="Times New Roman" w:eastAsia="Times New Roman" w:cs="Times New Roman"/>
                <w:sz w:val="24"/>
                <w:szCs w:val="20"/>
                <w:lang w:val="lt-LT" w:eastAsia="en-US"/>
              </w:rPr>
            </w:pPr>
            <w:r>
              <w:rPr>
                <w:rFonts w:eastAsia="Times New Roman" w:cs="Times New Roman" w:ascii="Times New Roman" w:hAnsi="Times New Roman"/>
                <w:szCs w:val="20"/>
              </w:rPr>
              <w:t>Įvairių rūšių: indai, stalo ir virtuviniai reikmenys, stiklinės, puodai, šaukštai, šaukšteliai, šakutės, peiliai, puodeliai, arbatinukai, buitinė technika, pakabos, rankinės, vaizdo ir garso technika, gėlių priežiūros prekės, vazonai gėlėms, maistas ir priežiūros prekės naminiams gyvūnams, patalynė, rankšluosčiai, staltiesės, kempinės ir šluostukai, žvakės, knygos, žurnalai, laikraščiai, žaislai ir analogiškos prekės.</w:t>
            </w:r>
          </w:p>
        </w:tc>
        <w:tc>
          <w:tcPr>
            <w:tcW w:w="4252"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1298" w:leader="none"/>
              </w:tabs>
              <w:spacing w:lineRule="auto" w:line="240" w:before="0" w:after="0"/>
              <w:jc w:val="center"/>
              <w:rPr>
                <w:rFonts w:ascii="Times New Roman" w:hAnsi="Times New Roman" w:eastAsia="Times New Roman" w:cs="Times New Roman"/>
                <w:sz w:val="24"/>
                <w:szCs w:val="24"/>
                <w:lang w:val="lt-LT" w:eastAsia="lt-LT"/>
              </w:rPr>
            </w:pPr>
            <w:r>
              <w:rPr>
                <w:rFonts w:eastAsia="Times New Roman" w:cs="Times New Roman" w:ascii="Times New Roman" w:hAnsi="Times New Roman"/>
                <w:sz w:val="24"/>
                <w:szCs w:val="24"/>
                <w:lang w:val="lt-LT" w:eastAsia="lt-LT"/>
              </w:rPr>
            </w:r>
          </w:p>
        </w:tc>
      </w:tr>
      <w:tr>
        <w:trPr>
          <w:trHeight w:val="562" w:hRule="atLeast"/>
        </w:trPr>
        <w:tc>
          <w:tcPr>
            <w:tcW w:w="603" w:type="dxa"/>
            <w:tcBorders>
              <w:left w:val="single" w:sz="4" w:space="0" w:color="000000"/>
              <w:bottom w:val="single" w:sz="4" w:space="0" w:color="000000"/>
              <w:right w:val="single" w:sz="4" w:space="0" w:color="000000"/>
            </w:tcBorders>
          </w:tcPr>
          <w:p>
            <w:pPr>
              <w:pStyle w:val="Normal"/>
              <w:tabs>
                <w:tab w:val="clear" w:pos="1296"/>
                <w:tab w:val="left" w:pos="1298" w:leader="none"/>
              </w:tabs>
              <w:spacing w:lineRule="auto" w:line="240" w:before="0" w:after="0"/>
              <w:jc w:val="both"/>
              <w:rPr>
                <w:rFonts w:ascii="Times New Roman" w:hAnsi="Times New Roman" w:eastAsia="Times New Roman" w:cs="Times New Roman"/>
                <w:sz w:val="24"/>
                <w:szCs w:val="24"/>
                <w:lang w:val="lt-LT" w:eastAsia="lt-LT"/>
              </w:rPr>
            </w:pPr>
            <w:r>
              <w:rPr>
                <w:rFonts w:eastAsia="Times New Roman" w:cs="Times New Roman" w:ascii="Times New Roman" w:hAnsi="Times New Roman"/>
                <w:sz w:val="24"/>
                <w:szCs w:val="24"/>
                <w:lang w:val="lt-LT" w:eastAsia="lt-LT"/>
              </w:rPr>
              <w:t>6.</w:t>
            </w:r>
          </w:p>
        </w:tc>
        <w:tc>
          <w:tcPr>
            <w:tcW w:w="4892" w:type="dxa"/>
            <w:tcBorders>
              <w:left w:val="single" w:sz="4" w:space="0" w:color="000000"/>
              <w:bottom w:val="single" w:sz="4" w:space="0" w:color="000000"/>
              <w:right w:val="single" w:sz="4" w:space="0" w:color="000000"/>
            </w:tcBorders>
          </w:tcPr>
          <w:p>
            <w:pPr>
              <w:pStyle w:val="Normal"/>
              <w:keepNext w:val="true"/>
              <w:numPr>
                <w:ilvl w:val="0"/>
                <w:numId w:val="0"/>
              </w:numPr>
              <w:spacing w:lineRule="auto" w:line="240" w:before="0" w:after="0"/>
              <w:ind w:hanging="0" w:left="0"/>
              <w:outlineLvl w:val="0"/>
              <w:rPr>
                <w:rFonts w:ascii="Times New Roman" w:hAnsi="Times New Roman" w:eastAsia="Times New Roman" w:cs="Times New Roman"/>
                <w:b w:val="false"/>
                <w:bCs w:val="false"/>
                <w:sz w:val="22"/>
                <w:szCs w:val="22"/>
                <w:lang w:eastAsia="lt-LT"/>
              </w:rPr>
            </w:pPr>
            <w:r>
              <w:rPr>
                <w:rFonts w:eastAsia="Times New Roman" w:cs="Times New Roman" w:ascii="Times New Roman" w:hAnsi="Times New Roman"/>
                <w:b w:val="false"/>
                <w:bCs w:val="false"/>
                <w:sz w:val="22"/>
                <w:szCs w:val="22"/>
                <w:lang w:eastAsia="lt-LT"/>
              </w:rPr>
              <w:t>Yra galimybė kortele apmokėti už komunalines paslaugas, elektros energijos suvartojimą</w:t>
            </w:r>
          </w:p>
        </w:tc>
        <w:tc>
          <w:tcPr>
            <w:tcW w:w="4252" w:type="dxa"/>
            <w:tcBorders>
              <w:left w:val="single" w:sz="4" w:space="0" w:color="000000"/>
              <w:bottom w:val="single" w:sz="4" w:space="0" w:color="000000"/>
              <w:right w:val="single" w:sz="4" w:space="0" w:color="000000"/>
            </w:tcBorders>
          </w:tcPr>
          <w:p>
            <w:pPr>
              <w:pStyle w:val="Normal"/>
              <w:tabs>
                <w:tab w:val="clear" w:pos="1296"/>
                <w:tab w:val="left" w:pos="1298" w:leader="none"/>
              </w:tabs>
              <w:spacing w:lineRule="auto" w:line="240" w:before="0" w:after="0"/>
              <w:jc w:val="center"/>
              <w:rPr>
                <w:rFonts w:ascii="Times New Roman" w:hAnsi="Times New Roman" w:eastAsia="Times New Roman" w:cs="Times New Roman"/>
                <w:sz w:val="24"/>
                <w:szCs w:val="24"/>
                <w:lang w:val="lt-LT" w:eastAsia="lt-LT"/>
              </w:rPr>
            </w:pPr>
            <w:r>
              <w:rPr>
                <w:rFonts w:eastAsia="Times New Roman" w:cs="Times New Roman" w:ascii="Times New Roman" w:hAnsi="Times New Roman"/>
                <w:sz w:val="24"/>
                <w:szCs w:val="24"/>
                <w:lang w:val="lt-LT" w:eastAsia="lt-LT"/>
              </w:rPr>
            </w:r>
          </w:p>
        </w:tc>
      </w:tr>
    </w:tbl>
    <w:p>
      <w:pPr>
        <w:pStyle w:val="Normal"/>
        <w:spacing w:lineRule="auto" w:line="240" w:before="0" w:after="0"/>
        <w:jc w:val="both"/>
        <w:rPr>
          <w:rFonts w:ascii="Times New Roman" w:hAnsi="Times New Roman" w:eastAsia="Times New Roman" w:cs="Times New Roman"/>
          <w:b/>
          <w:szCs w:val="24"/>
          <w:lang w:val="lt-LT" w:eastAsia="lt-LT"/>
        </w:rPr>
      </w:pPr>
      <w:r>
        <w:rPr>
          <w:rFonts w:eastAsia="Times New Roman" w:cs="Times New Roman" w:ascii="Times New Roman" w:hAnsi="Times New Roman"/>
          <w:b/>
          <w:szCs w:val="24"/>
          <w:lang w:val="lt-LT" w:eastAsia="lt-LT"/>
        </w:rPr>
      </w:r>
    </w:p>
    <w:p>
      <w:pPr>
        <w:pStyle w:val="Normal"/>
        <w:spacing w:lineRule="auto" w:line="240" w:before="0" w:after="0"/>
        <w:ind w:firstLine="284"/>
        <w:jc w:val="both"/>
        <w:rPr>
          <w:rFonts w:ascii="Times New Roman" w:hAnsi="Times New Roman" w:eastAsia="Times New Roman" w:cs="Times New Roman"/>
          <w:szCs w:val="20"/>
          <w:lang w:eastAsia="en-US"/>
        </w:rPr>
      </w:pPr>
      <w:r>
        <w:rPr>
          <w:rFonts w:eastAsia="Times New Roman" w:cs="Times New Roman" w:ascii="Times New Roman" w:hAnsi="Times New Roman"/>
          <w:szCs w:val="20"/>
        </w:rPr>
        <w:t>Socialinės paramos gavėjai gali pirkti ir kitas, sąraše neišvardintas prekes, išskyrus alkoholį, tabako gaminius ir loterijos bilietus.</w:t>
      </w:r>
    </w:p>
    <w:p>
      <w:pPr>
        <w:pStyle w:val="Normal"/>
        <w:spacing w:lineRule="auto" w:line="240" w:before="0" w:after="0"/>
        <w:ind w:firstLine="284"/>
        <w:jc w:val="both"/>
        <w:rPr>
          <w:rFonts w:ascii="Times New Roman" w:hAnsi="Times New Roman" w:eastAsia="Times New Roman" w:cs="Times New Roman"/>
          <w:szCs w:val="20"/>
        </w:rPr>
      </w:pPr>
      <w:r>
        <w:rPr>
          <w:rFonts w:eastAsia="Times New Roman" w:cs="Times New Roman" w:ascii="Times New Roman" w:hAnsi="Times New Roman"/>
          <w:szCs w:val="20"/>
        </w:rPr>
      </w:r>
    </w:p>
    <w:p>
      <w:pPr>
        <w:pStyle w:val="Normal"/>
        <w:spacing w:lineRule="auto" w:line="240" w:before="0" w:after="0"/>
        <w:ind w:firstLine="284"/>
        <w:jc w:val="both"/>
        <w:rPr>
          <w:rFonts w:ascii="Times New Roman" w:hAnsi="Times New Roman" w:eastAsia="Times New Roman" w:cs="Times New Roman"/>
          <w:b/>
          <w:szCs w:val="20"/>
        </w:rPr>
      </w:pPr>
      <w:r>
        <w:rPr>
          <w:rFonts w:eastAsia="Times New Roman" w:cs="Times New Roman" w:ascii="Times New Roman" w:hAnsi="Times New Roman"/>
          <w:b/>
          <w:szCs w:val="24"/>
          <w:lang w:eastAsia="lt-LT"/>
        </w:rPr>
        <w:t xml:space="preserve">4. Prekybos taškų, kurie nuo bet kurios Prienų rajono seniūnijos </w:t>
      </w:r>
      <w:r>
        <w:rPr>
          <w:rFonts w:eastAsia="Times New Roman" w:cs="Times New Roman" w:ascii="Times New Roman" w:hAnsi="Times New Roman"/>
          <w:b/>
          <w:color w:val="000000"/>
          <w:szCs w:val="24"/>
          <w:lang w:eastAsia="lt-LT"/>
        </w:rPr>
        <w:t>nutolę ne daugiau kaip 20 km.,</w:t>
      </w:r>
      <w:r>
        <w:rPr>
          <w:rFonts w:eastAsia="Times New Roman" w:cs="Times New Roman" w:ascii="Times New Roman" w:hAnsi="Times New Roman"/>
          <w:b/>
          <w:szCs w:val="24"/>
          <w:lang w:eastAsia="lt-LT"/>
        </w:rPr>
        <w:t xml:space="preserve"> skaičius– ..... (įrašyti).</w:t>
      </w:r>
    </w:p>
    <w:p>
      <w:pPr>
        <w:pStyle w:val="Normal"/>
        <w:spacing w:lineRule="auto" w:line="240" w:before="0" w:after="0"/>
        <w:ind w:firstLine="284"/>
        <w:jc w:val="both"/>
        <w:rPr>
          <w:rFonts w:ascii="Times New Roman" w:hAnsi="Times New Roman" w:eastAsia="Times New Roman" w:cs="Times New Roman"/>
          <w:szCs w:val="24"/>
          <w:lang w:eastAsia="lt-LT"/>
        </w:rPr>
      </w:pPr>
      <w:r>
        <w:rPr>
          <w:rFonts w:eastAsia="Times New Roman" w:cs="Times New Roman" w:ascii="Times New Roman" w:hAnsi="Times New Roman"/>
          <w:szCs w:val="24"/>
          <w:lang w:eastAsia="lt-LT"/>
        </w:rPr>
      </w:r>
    </w:p>
    <w:p>
      <w:pPr>
        <w:pStyle w:val="Normal"/>
        <w:spacing w:lineRule="auto" w:line="240" w:before="0" w:after="0"/>
        <w:ind w:firstLine="284"/>
        <w:jc w:val="both"/>
        <w:rPr>
          <w:rFonts w:ascii="Times New Roman" w:hAnsi="Times New Roman" w:eastAsia="Times New Roman" w:cs="Times New Roman"/>
          <w:szCs w:val="24"/>
        </w:rPr>
      </w:pPr>
      <w:r>
        <w:rPr>
          <w:rFonts w:eastAsia="Times New Roman" w:cs="Times New Roman" w:ascii="Times New Roman" w:hAnsi="Times New Roman"/>
          <w:b/>
          <w:szCs w:val="24"/>
          <w:lang w:eastAsia="lt-LT"/>
        </w:rPr>
        <w:t>5. Visoms socialine kortele perkamoms prekėms siūlome ......... (įrašyti žodžiu) procentų dydžio nuolaidą.</w:t>
      </w:r>
      <w:r>
        <w:rPr>
          <w:rFonts w:eastAsia="Times New Roman" w:cs="Times New Roman" w:ascii="Times New Roman" w:hAnsi="Times New Roman"/>
          <w:szCs w:val="24"/>
          <w:lang w:eastAsia="lt-LT"/>
        </w:rPr>
        <w:t xml:space="preserve"> </w:t>
      </w:r>
      <w:r>
        <w:rPr>
          <w:rFonts w:eastAsia="Times New Roman" w:cs="Times New Roman" w:ascii="Times New Roman" w:hAnsi="Times New Roman"/>
          <w:szCs w:val="24"/>
        </w:rPr>
        <w:t>Nuolaida turi būti išreikšta sveikais skaičiais.</w:t>
      </w:r>
    </w:p>
    <w:p>
      <w:pPr>
        <w:pStyle w:val="Normal"/>
        <w:widowControl w:val="false"/>
        <w:shd w:val="clear" w:color="auto" w:fill="FFFFFF"/>
        <w:suppressAutoHyphens w:val="true"/>
        <w:ind w:firstLine="284"/>
        <w:jc w:val="both"/>
        <w:rPr>
          <w:lang w:val="lt-LT"/>
        </w:rPr>
      </w:pPr>
      <w:r>
        <w:rPr>
          <w:lang w:val="lt-LT"/>
        </w:rPr>
      </w:r>
    </w:p>
    <w:p>
      <w:pPr>
        <w:pStyle w:val="Normal"/>
        <w:widowControl w:val="false"/>
        <w:shd w:val="clear" w:color="auto" w:fill="FFFFFF"/>
        <w:suppressAutoHyphens w:val="true"/>
        <w:ind w:firstLine="284"/>
        <w:jc w:val="both"/>
        <w:rPr>
          <w:b/>
          <w:highlight w:val="yellow"/>
          <w:lang w:val="lt-LT"/>
        </w:rPr>
      </w:pPr>
      <w:r>
        <w:rPr>
          <w:lang w:val="lt-LT"/>
        </w:rPr>
        <w:t>6. *</w:t>
      </w:r>
      <w:r>
        <w:rPr>
          <w:lang w:val="lt-LT" w:eastAsia="lt-LT"/>
        </w:rPr>
        <w:t>Vykdant sutartį pasitelksime šiuos subtiekėjus:</w:t>
      </w:r>
    </w:p>
    <w:tbl>
      <w:tblPr>
        <w:tblW w:w="9645" w:type="dxa"/>
        <w:jc w:val="left"/>
        <w:tblInd w:w="113" w:type="dxa"/>
        <w:tblLayout w:type="fixed"/>
        <w:tblCellMar>
          <w:top w:w="0" w:type="dxa"/>
          <w:left w:w="108" w:type="dxa"/>
          <w:bottom w:w="0" w:type="dxa"/>
          <w:right w:w="108" w:type="dxa"/>
        </w:tblCellMar>
        <w:tblLook w:val="00a0"/>
      </w:tblPr>
      <w:tblGrid>
        <w:gridCol w:w="675"/>
        <w:gridCol w:w="4677"/>
        <w:gridCol w:w="4293"/>
      </w:tblGrid>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160"/>
              <w:jc w:val="center"/>
              <w:rPr>
                <w:lang w:val="lt-LT"/>
              </w:rPr>
            </w:pPr>
            <w:r>
              <w:rPr>
                <w:lang w:val="lt-LT"/>
              </w:rPr>
              <w:t>Eil.Nr.</w:t>
            </w:r>
          </w:p>
        </w:tc>
        <w:tc>
          <w:tcPr>
            <w:tcW w:w="467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160"/>
              <w:jc w:val="center"/>
              <w:rPr>
                <w:lang w:val="lt-LT"/>
              </w:rPr>
            </w:pPr>
            <w:r>
              <w:rPr>
                <w:lang w:val="lt-LT"/>
              </w:rPr>
              <w:t>Subtiekėjų pavadinimas</w:t>
            </w:r>
          </w:p>
        </w:tc>
        <w:tc>
          <w:tcPr>
            <w:tcW w:w="429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160"/>
              <w:jc w:val="center"/>
              <w:rPr>
                <w:lang w:val="lt-LT"/>
              </w:rPr>
            </w:pPr>
            <w:r>
              <w:rPr>
                <w:lang w:val="lt-LT"/>
              </w:rPr>
              <w:t>Subtiekėjui perduodama dalis (%) ir paslaugų pavadinimas</w:t>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160"/>
              <w:jc w:val="both"/>
              <w:rPr>
                <w:lang w:val="lt-LT"/>
              </w:rPr>
            </w:pPr>
            <w:r>
              <w:rPr>
                <w:lang w:val="lt-LT"/>
              </w:rPr>
            </w:r>
          </w:p>
        </w:tc>
        <w:tc>
          <w:tcPr>
            <w:tcW w:w="467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160"/>
              <w:jc w:val="both"/>
              <w:rPr>
                <w:lang w:val="lt-LT"/>
              </w:rPr>
            </w:pPr>
            <w:r>
              <w:rPr>
                <w:lang w:val="lt-LT"/>
              </w:rPr>
            </w:r>
          </w:p>
        </w:tc>
        <w:tc>
          <w:tcPr>
            <w:tcW w:w="429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160"/>
              <w:jc w:val="both"/>
              <w:rPr>
                <w:lang w:val="lt-LT"/>
              </w:rPr>
            </w:pPr>
            <w:r>
              <w:rPr>
                <w:lang w:val="lt-LT"/>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160"/>
              <w:jc w:val="both"/>
              <w:rPr>
                <w:lang w:val="lt-LT"/>
              </w:rPr>
            </w:pPr>
            <w:r>
              <w:rPr>
                <w:lang w:val="lt-LT"/>
              </w:rPr>
            </w:r>
          </w:p>
        </w:tc>
        <w:tc>
          <w:tcPr>
            <w:tcW w:w="4677" w:type="dxa"/>
            <w:tcBorders>
              <w:top w:val="single" w:sz="4" w:space="0" w:color="000000"/>
              <w:left w:val="single" w:sz="4" w:space="0" w:color="000000"/>
              <w:bottom w:val="single" w:sz="4" w:space="0" w:color="000000"/>
              <w:right w:val="single" w:sz="4" w:space="0" w:color="000000"/>
            </w:tcBorders>
          </w:tcPr>
          <w:p>
            <w:pPr>
              <w:pStyle w:val="Normal"/>
              <w:tabs>
                <w:tab w:val="left" w:pos="1296" w:leader="none"/>
                <w:tab w:val="center" w:pos="4153" w:leader="none"/>
                <w:tab w:val="right" w:pos="8306" w:leader="none"/>
              </w:tabs>
              <w:spacing w:before="0" w:after="160"/>
              <w:rPr>
                <w:lang w:val="lt-LT"/>
              </w:rPr>
            </w:pPr>
            <w:r>
              <w:rPr>
                <w:lang w:val="lt-LT"/>
              </w:rPr>
            </w:r>
          </w:p>
        </w:tc>
        <w:tc>
          <w:tcPr>
            <w:tcW w:w="4293" w:type="dxa"/>
            <w:tcBorders>
              <w:top w:val="single" w:sz="4" w:space="0" w:color="000000"/>
              <w:left w:val="single" w:sz="4" w:space="0" w:color="000000"/>
              <w:bottom w:val="single" w:sz="4" w:space="0" w:color="000000"/>
              <w:right w:val="single" w:sz="4" w:space="0" w:color="000000"/>
            </w:tcBorders>
          </w:tcPr>
          <w:p>
            <w:pPr>
              <w:pStyle w:val="Normal"/>
              <w:tabs>
                <w:tab w:val="left" w:pos="1296" w:leader="none"/>
                <w:tab w:val="center" w:pos="4153" w:leader="none"/>
                <w:tab w:val="right" w:pos="8306" w:leader="none"/>
              </w:tabs>
              <w:spacing w:before="0" w:after="160"/>
              <w:rPr>
                <w:lang w:val="lt-LT"/>
              </w:rPr>
            </w:pPr>
            <w:r>
              <w:rPr>
                <w:lang w:val="lt-LT"/>
              </w:rPr>
            </w:r>
          </w:p>
        </w:tc>
      </w:tr>
    </w:tbl>
    <w:p>
      <w:pPr>
        <w:pStyle w:val="Normal"/>
        <w:widowControl w:val="false"/>
        <w:suppressAutoHyphens w:val="true"/>
        <w:rPr>
          <w:lang w:val="lt-LT"/>
        </w:rPr>
      </w:pPr>
      <w:r>
        <w:rPr>
          <w:lang w:val="lt-LT" w:eastAsia="lt-LT"/>
        </w:rPr>
        <w:t>*Pildyti tuomet, jei bus sutarties vykdymui bus pasitelkti subtiekėjai (subteikėjai).</w:t>
      </w:r>
    </w:p>
    <w:p>
      <w:pPr>
        <w:pStyle w:val="Normal"/>
        <w:spacing w:lineRule="auto" w:line="240" w:before="0" w:after="0"/>
        <w:ind w:firstLine="284"/>
        <w:jc w:val="both"/>
        <w:rPr>
          <w:rFonts w:ascii="Times New Roman" w:hAnsi="Times New Roman" w:eastAsia="Calibri" w:cs="Times New Roman"/>
          <w:szCs w:val="24"/>
        </w:rPr>
      </w:pPr>
      <w:r>
        <w:rPr>
          <w:rFonts w:eastAsia="Calibri" w:cs="Times New Roman" w:ascii="Times New Roman" w:hAnsi="Times New Roman"/>
          <w:szCs w:val="24"/>
        </w:rPr>
      </w:r>
    </w:p>
    <w:p>
      <w:pPr>
        <w:pStyle w:val="Normal"/>
        <w:spacing w:lineRule="auto" w:line="240" w:before="0" w:after="0"/>
        <w:ind w:firstLine="284"/>
        <w:jc w:val="both"/>
        <w:rPr>
          <w:rFonts w:ascii="Times New Roman" w:hAnsi="Times New Roman" w:eastAsia="Times New Roman" w:cs="Times New Roman"/>
          <w:szCs w:val="20"/>
        </w:rPr>
      </w:pPr>
      <w:r>
        <w:rPr>
          <w:rFonts w:cs="Times New Roman" w:ascii="Times New Roman" w:hAnsi="Times New Roman"/>
          <w:szCs w:val="24"/>
        </w:rPr>
        <w:t>7.Kartu su pasiūlymu pateikiami šie dokumentai:</w:t>
      </w:r>
    </w:p>
    <w:p>
      <w:pPr>
        <w:pStyle w:val="Normal"/>
        <w:spacing w:lineRule="auto" w:line="240" w:before="0" w:after="0"/>
        <w:ind w:firstLine="720"/>
        <w:jc w:val="both"/>
        <w:rPr>
          <w:rFonts w:ascii="Times New Roman" w:hAnsi="Times New Roman" w:eastAsia="Calibri" w:cs="Times New Roman"/>
          <w:szCs w:val="24"/>
        </w:rPr>
      </w:pPr>
      <w:r>
        <w:rPr>
          <w:rFonts w:eastAsia="Calibri" w:cs="Times New Roman" w:ascii="Times New Roman" w:hAnsi="Times New Roman"/>
          <w:szCs w:val="24"/>
        </w:rPr>
      </w:r>
    </w:p>
    <w:tbl>
      <w:tblPr>
        <w:tblW w:w="9828" w:type="dxa"/>
        <w:jc w:val="left"/>
        <w:tblInd w:w="113" w:type="dxa"/>
        <w:tblLayout w:type="fixed"/>
        <w:tblCellMar>
          <w:top w:w="0" w:type="dxa"/>
          <w:left w:w="108" w:type="dxa"/>
          <w:bottom w:w="0" w:type="dxa"/>
          <w:right w:w="108" w:type="dxa"/>
        </w:tblCellMar>
        <w:tblLook w:val="04a0"/>
      </w:tblPr>
      <w:tblGrid>
        <w:gridCol w:w="675"/>
        <w:gridCol w:w="6518"/>
        <w:gridCol w:w="2635"/>
      </w:tblGrid>
      <w:tr>
        <w:trPr/>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Calibri" w:cs="Times New Roman"/>
                <w:sz w:val="24"/>
                <w:szCs w:val="24"/>
                <w:lang w:val="lt-LT" w:eastAsia="en-US"/>
              </w:rPr>
            </w:pPr>
            <w:r>
              <w:rPr>
                <w:rFonts w:cs="Times New Roman" w:ascii="Times New Roman" w:hAnsi="Times New Roman"/>
                <w:szCs w:val="24"/>
              </w:rPr>
              <w:t>Eil.Nr.</w:t>
            </w:r>
          </w:p>
        </w:tc>
        <w:tc>
          <w:tcPr>
            <w:tcW w:w="65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Calibri" w:cs="Times New Roman"/>
                <w:sz w:val="24"/>
                <w:szCs w:val="24"/>
                <w:lang w:val="lt-LT" w:eastAsia="en-US"/>
              </w:rPr>
            </w:pPr>
            <w:r>
              <w:rPr>
                <w:rFonts w:cs="Times New Roman" w:ascii="Times New Roman" w:hAnsi="Times New Roman"/>
                <w:szCs w:val="24"/>
              </w:rPr>
              <w:t>Pateiktų dokumentų pavadinimas</w:t>
            </w:r>
          </w:p>
        </w:tc>
        <w:tc>
          <w:tcPr>
            <w:tcW w:w="26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Calibri" w:cs="Times New Roman"/>
                <w:sz w:val="24"/>
                <w:szCs w:val="24"/>
                <w:lang w:val="lt-LT" w:eastAsia="en-US"/>
              </w:rPr>
            </w:pPr>
            <w:r>
              <w:rPr>
                <w:rFonts w:cs="Times New Roman" w:ascii="Times New Roman" w:hAnsi="Times New Roman"/>
                <w:szCs w:val="24"/>
              </w:rPr>
              <w:t>Dokumento puslapių skaičius</w:t>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c>
          <w:tcPr>
            <w:tcW w:w="65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c>
          <w:tcPr>
            <w:tcW w:w="26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c>
          <w:tcPr>
            <w:tcW w:w="6518" w:type="dxa"/>
            <w:tcBorders>
              <w:top w:val="single" w:sz="4" w:space="0" w:color="000000"/>
              <w:left w:val="single" w:sz="4" w:space="0" w:color="000000"/>
              <w:bottom w:val="single" w:sz="4" w:space="0" w:color="000000"/>
              <w:right w:val="single" w:sz="4" w:space="0" w:color="000000"/>
            </w:tcBorders>
          </w:tcPr>
          <w:p>
            <w:pPr>
              <w:pStyle w:val="Header"/>
              <w:widowControl/>
              <w:tabs>
                <w:tab w:val="clear" w:pos="4513"/>
                <w:tab w:val="clear" w:pos="9026"/>
                <w:tab w:val="left" w:pos="1296" w:leader="none"/>
                <w:tab w:val="center" w:pos="4153" w:leader="none"/>
                <w:tab w:val="right" w:pos="8306" w:leader="none"/>
              </w:tabs>
              <w:spacing w:before="0" w:after="0"/>
              <w:rPr>
                <w:szCs w:val="24"/>
              </w:rPr>
            </w:pPr>
            <w:r>
              <w:rPr>
                <w:szCs w:val="24"/>
              </w:rPr>
            </w:r>
          </w:p>
        </w:tc>
        <w:tc>
          <w:tcPr>
            <w:tcW w:w="26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c>
          <w:tcPr>
            <w:tcW w:w="65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c>
          <w:tcPr>
            <w:tcW w:w="26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r>
      <w:tr>
        <w:trPr>
          <w:trHeight w:val="324" w:hRule="atLeast"/>
        </w:trPr>
        <w:tc>
          <w:tcPr>
            <w:tcW w:w="9828" w:type="dxa"/>
            <w:gridSpan w:val="3"/>
            <w:tcBorders/>
          </w:tcPr>
          <w:p>
            <w:pPr>
              <w:pStyle w:val="Normal"/>
              <w:spacing w:lineRule="auto" w:line="240" w:before="0" w:after="0"/>
              <w:ind w:firstLine="720" w:right="-108"/>
              <w:jc w:val="both"/>
              <w:rPr>
                <w:rFonts w:ascii="Times New Roman" w:hAnsi="Times New Roman" w:cs="Times New Roman"/>
                <w:szCs w:val="24"/>
              </w:rPr>
            </w:pPr>
            <w:r>
              <w:rPr>
                <w:rFonts w:cs="Times New Roman" w:ascii="Times New Roman" w:hAnsi="Times New Roman"/>
                <w:szCs w:val="24"/>
              </w:rPr>
            </w:r>
          </w:p>
          <w:p>
            <w:pPr>
              <w:pStyle w:val="Normal"/>
              <w:spacing w:lineRule="auto" w:line="240" w:before="0" w:after="0"/>
              <w:ind w:firstLine="284" w:right="-108"/>
              <w:jc w:val="both"/>
              <w:rPr>
                <w:rFonts w:ascii="Times New Roman" w:hAnsi="Times New Roman" w:eastAsia="Calibri" w:cs="Times New Roman"/>
                <w:sz w:val="24"/>
                <w:szCs w:val="24"/>
                <w:lang w:eastAsia="en-US"/>
              </w:rPr>
            </w:pPr>
            <w:r>
              <w:rPr>
                <w:rFonts w:cs="Times New Roman" w:ascii="Times New Roman" w:hAnsi="Times New Roman"/>
                <w:szCs w:val="24"/>
              </w:rPr>
              <w:t>8.Pasiūlymas galioja iki .............................. Pasiūlymas turi galioti ne trumpiau nei 9</w:t>
            </w:r>
            <w:r>
              <w:rPr>
                <w:rFonts w:eastAsia="Calibri" w:cs="Times New Roman" w:ascii="Times New Roman" w:hAnsi="Times New Roman"/>
                <w:sz w:val="24"/>
                <w:szCs w:val="24"/>
                <w:lang w:eastAsia="en-US"/>
              </w:rPr>
              <w:t>0 d.</w:t>
            </w:r>
          </w:p>
          <w:p>
            <w:pPr>
              <w:pStyle w:val="Normal"/>
              <w:spacing w:lineRule="auto" w:line="240" w:before="0" w:after="0"/>
              <w:ind w:right="-108"/>
              <w:jc w:val="both"/>
              <w:rPr>
                <w:rFonts w:ascii="Times New Roman" w:hAnsi="Times New Roman" w:cs="Times New Roman"/>
                <w:szCs w:val="24"/>
              </w:rPr>
            </w:pPr>
            <w:r>
              <w:rPr>
                <w:rFonts w:cs="Times New Roman" w:ascii="Times New Roman" w:hAnsi="Times New Roman"/>
                <w:szCs w:val="24"/>
              </w:rPr>
            </w:r>
          </w:p>
          <w:p>
            <w:pPr>
              <w:pStyle w:val="Normal"/>
              <w:spacing w:lineRule="auto" w:line="240" w:before="0" w:after="0"/>
              <w:ind w:right="-108"/>
              <w:jc w:val="both"/>
              <w:rPr>
                <w:rFonts w:ascii="Times New Roman" w:hAnsi="Times New Roman" w:cs="Times New Roman"/>
                <w:szCs w:val="24"/>
              </w:rPr>
            </w:pPr>
            <w:r>
              <w:rPr>
                <w:rFonts w:cs="Times New Roman" w:ascii="Times New Roman" w:hAnsi="Times New Roman"/>
                <w:szCs w:val="24"/>
              </w:rPr>
              <w:t xml:space="preserve">      </w:t>
            </w:r>
            <w:r>
              <w:rPr>
                <w:rFonts w:cs="Times New Roman" w:ascii="Times New Roman" w:hAnsi="Times New Roman"/>
                <w:szCs w:val="24"/>
              </w:rPr>
              <w:t>9. Ši pasiūlyme nurodyta informacija yra konfidenciali:</w:t>
            </w:r>
          </w:p>
          <w:p>
            <w:pPr>
              <w:pStyle w:val="Normal"/>
              <w:spacing w:lineRule="auto" w:line="240" w:before="0" w:after="0"/>
              <w:ind w:right="-108"/>
              <w:jc w:val="both"/>
              <w:rPr>
                <w:rFonts w:ascii="Times New Roman" w:hAnsi="Times New Roman" w:cs="Times New Roman"/>
                <w:szCs w:val="24"/>
              </w:rPr>
            </w:pPr>
            <w:r>
              <w:rPr>
                <w:rFonts w:cs="Times New Roman" w:ascii="Times New Roman" w:hAnsi="Times New Roman"/>
                <w:szCs w:val="24"/>
              </w:rPr>
            </w:r>
          </w:p>
          <w:tbl>
            <w:tblPr>
              <w:tblW w:w="9475" w:type="dxa"/>
              <w:jc w:val="left"/>
              <w:tblInd w:w="0" w:type="dxa"/>
              <w:tblLayout w:type="fixed"/>
              <w:tblCellMar>
                <w:top w:w="0" w:type="dxa"/>
                <w:left w:w="108" w:type="dxa"/>
                <w:bottom w:w="0" w:type="dxa"/>
                <w:right w:w="108" w:type="dxa"/>
              </w:tblCellMar>
              <w:tblLook w:val="01e0"/>
            </w:tblPr>
            <w:tblGrid>
              <w:gridCol w:w="610"/>
              <w:gridCol w:w="8864"/>
            </w:tblGrid>
            <w:tr>
              <w:trPr>
                <w:trHeight w:val="416" w:hRule="atLeast"/>
              </w:trPr>
              <w:tc>
                <w:tcPr>
                  <w:tcW w:w="6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right="-108"/>
                    <w:jc w:val="both"/>
                    <w:rPr>
                      <w:rFonts w:ascii="Times New Roman" w:hAnsi="Times New Roman" w:eastAsia="Times New Roman" w:cs="Times New Roman"/>
                      <w:sz w:val="24"/>
                      <w:szCs w:val="24"/>
                      <w:lang w:val="lt-LT" w:eastAsia="en-US"/>
                    </w:rPr>
                  </w:pPr>
                  <w:r>
                    <w:rPr>
                      <w:rFonts w:eastAsia="Times New Roman" w:cs="Times New Roman" w:ascii="Times New Roman" w:hAnsi="Times New Roman"/>
                      <w:szCs w:val="24"/>
                    </w:rPr>
                    <w:t>Eil.Nr.</w:t>
                  </w:r>
                </w:p>
              </w:tc>
              <w:tc>
                <w:tcPr>
                  <w:tcW w:w="88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right="-108"/>
                    <w:jc w:val="center"/>
                    <w:rPr>
                      <w:rFonts w:ascii="Times New Roman" w:hAnsi="Times New Roman" w:eastAsia="Times New Roman" w:cs="Times New Roman"/>
                      <w:sz w:val="24"/>
                      <w:szCs w:val="24"/>
                      <w:lang w:val="lt-LT" w:eastAsia="en-US"/>
                    </w:rPr>
                  </w:pPr>
                  <w:r>
                    <w:rPr>
                      <w:rFonts w:eastAsia="Times New Roman" w:cs="Times New Roman" w:ascii="Times New Roman" w:hAnsi="Times New Roman"/>
                      <w:szCs w:val="24"/>
                    </w:rPr>
                    <w:t>Pateikto dokumento pavadinimas (rekomenduojama pavadinime vartoti žodį „Konfidencialu“)</w:t>
                  </w:r>
                </w:p>
              </w:tc>
            </w:tr>
            <w:tr>
              <w:trPr>
                <w:trHeight w:val="172" w:hRule="atLeast"/>
              </w:trPr>
              <w:tc>
                <w:tcPr>
                  <w:tcW w:w="6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right="-108"/>
                    <w:jc w:val="both"/>
                    <w:rPr>
                      <w:rFonts w:ascii="Times New Roman" w:hAnsi="Times New Roman" w:eastAsia="Times New Roman" w:cs="Times New Roman"/>
                      <w:sz w:val="24"/>
                      <w:szCs w:val="24"/>
                      <w:lang w:val="lt-LT" w:eastAsia="en-US"/>
                    </w:rPr>
                  </w:pPr>
                  <w:r>
                    <w:rPr>
                      <w:rFonts w:eastAsia="Times New Roman" w:cs="Times New Roman" w:ascii="Times New Roman" w:hAnsi="Times New Roman"/>
                      <w:sz w:val="24"/>
                      <w:szCs w:val="24"/>
                      <w:lang w:val="lt-LT" w:eastAsia="en-US"/>
                    </w:rPr>
                  </w:r>
                </w:p>
              </w:tc>
              <w:tc>
                <w:tcPr>
                  <w:tcW w:w="88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right="-108"/>
                    <w:jc w:val="both"/>
                    <w:rPr>
                      <w:rFonts w:ascii="Times New Roman" w:hAnsi="Times New Roman" w:eastAsia="Times New Roman" w:cs="Times New Roman"/>
                      <w:sz w:val="24"/>
                      <w:szCs w:val="24"/>
                      <w:lang w:val="lt-LT" w:eastAsia="en-US"/>
                    </w:rPr>
                  </w:pPr>
                  <w:r>
                    <w:rPr>
                      <w:rFonts w:eastAsia="Times New Roman" w:cs="Times New Roman" w:ascii="Times New Roman" w:hAnsi="Times New Roman"/>
                      <w:sz w:val="24"/>
                      <w:szCs w:val="24"/>
                      <w:lang w:val="lt-LT" w:eastAsia="en-US"/>
                    </w:rPr>
                  </w:r>
                </w:p>
              </w:tc>
            </w:tr>
            <w:tr>
              <w:trPr>
                <w:trHeight w:val="161" w:hRule="atLeast"/>
              </w:trPr>
              <w:tc>
                <w:tcPr>
                  <w:tcW w:w="6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right="-108"/>
                    <w:jc w:val="both"/>
                    <w:rPr>
                      <w:rFonts w:ascii="Times New Roman" w:hAnsi="Times New Roman" w:eastAsia="Times New Roman" w:cs="Times New Roman"/>
                      <w:sz w:val="24"/>
                      <w:szCs w:val="24"/>
                      <w:lang w:val="lt-LT" w:eastAsia="en-US"/>
                    </w:rPr>
                  </w:pPr>
                  <w:r>
                    <w:rPr>
                      <w:rFonts w:eastAsia="Times New Roman" w:cs="Times New Roman" w:ascii="Times New Roman" w:hAnsi="Times New Roman"/>
                      <w:sz w:val="24"/>
                      <w:szCs w:val="24"/>
                      <w:lang w:val="lt-LT" w:eastAsia="en-US"/>
                    </w:rPr>
                  </w:r>
                </w:p>
              </w:tc>
              <w:tc>
                <w:tcPr>
                  <w:tcW w:w="88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right="-108"/>
                    <w:jc w:val="both"/>
                    <w:rPr>
                      <w:rFonts w:ascii="Times New Roman" w:hAnsi="Times New Roman" w:eastAsia="Times New Roman" w:cs="Times New Roman"/>
                      <w:sz w:val="24"/>
                      <w:szCs w:val="24"/>
                      <w:lang w:val="lt-LT" w:eastAsia="en-US"/>
                    </w:rPr>
                  </w:pPr>
                  <w:r>
                    <w:rPr>
                      <w:rFonts w:eastAsia="Times New Roman" w:cs="Times New Roman" w:ascii="Times New Roman" w:hAnsi="Times New Roman"/>
                      <w:sz w:val="24"/>
                      <w:szCs w:val="24"/>
                      <w:lang w:val="lt-LT" w:eastAsia="en-US"/>
                    </w:rPr>
                  </w:r>
                </w:p>
              </w:tc>
            </w:tr>
            <w:tr>
              <w:trPr>
                <w:trHeight w:val="58" w:hRule="atLeast"/>
              </w:trPr>
              <w:tc>
                <w:tcPr>
                  <w:tcW w:w="6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right="-108"/>
                    <w:jc w:val="both"/>
                    <w:rPr>
                      <w:rFonts w:ascii="Times New Roman" w:hAnsi="Times New Roman" w:eastAsia="Times New Roman" w:cs="Times New Roman"/>
                      <w:sz w:val="24"/>
                      <w:szCs w:val="24"/>
                      <w:lang w:val="lt-LT" w:eastAsia="en-US"/>
                    </w:rPr>
                  </w:pPr>
                  <w:r>
                    <w:rPr>
                      <w:rFonts w:eastAsia="Times New Roman" w:cs="Times New Roman" w:ascii="Times New Roman" w:hAnsi="Times New Roman"/>
                      <w:sz w:val="24"/>
                      <w:szCs w:val="24"/>
                      <w:lang w:val="lt-LT" w:eastAsia="en-US"/>
                    </w:rPr>
                  </w:r>
                </w:p>
              </w:tc>
              <w:tc>
                <w:tcPr>
                  <w:tcW w:w="88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right="-108"/>
                    <w:jc w:val="both"/>
                    <w:rPr>
                      <w:rFonts w:ascii="Times New Roman" w:hAnsi="Times New Roman" w:eastAsia="Times New Roman" w:cs="Times New Roman"/>
                      <w:sz w:val="24"/>
                      <w:szCs w:val="24"/>
                      <w:lang w:val="lt-LT" w:eastAsia="en-US"/>
                    </w:rPr>
                  </w:pPr>
                  <w:r>
                    <w:rPr>
                      <w:rFonts w:eastAsia="Times New Roman" w:cs="Times New Roman" w:ascii="Times New Roman" w:hAnsi="Times New Roman"/>
                      <w:sz w:val="24"/>
                      <w:szCs w:val="24"/>
                      <w:lang w:val="lt-LT" w:eastAsia="en-US"/>
                    </w:rPr>
                  </w:r>
                </w:p>
              </w:tc>
            </w:tr>
          </w:tbl>
          <w:p>
            <w:pPr>
              <w:pStyle w:val="Normal"/>
              <w:spacing w:lineRule="auto" w:line="240" w:before="0" w:after="0"/>
              <w:ind w:right="-108"/>
              <w:jc w:val="both"/>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r>
    </w:tbl>
    <w:p>
      <w:pPr>
        <w:pStyle w:val="Normal"/>
        <w:spacing w:lineRule="auto" w:line="240" w:before="0" w:after="0"/>
        <w:ind w:firstLine="284"/>
        <w:jc w:val="both"/>
        <w:rPr>
          <w:rFonts w:ascii="Times New Roman" w:hAnsi="Times New Roman" w:eastAsia="Calibri" w:cs="Times New Roman"/>
          <w:szCs w:val="24"/>
          <w:lang w:val="lt-LT" w:eastAsia="en-US"/>
        </w:rPr>
      </w:pPr>
      <w:r>
        <w:rPr>
          <w:rFonts w:cs="Times New Roman" w:ascii="Times New Roman" w:hAnsi="Times New Roman"/>
          <w:szCs w:val="24"/>
        </w:rPr>
        <w:t>Pastabos:</w:t>
      </w:r>
    </w:p>
    <w:p>
      <w:pPr>
        <w:pStyle w:val="Normal"/>
        <w:spacing w:lineRule="auto" w:line="240" w:before="0" w:after="0"/>
        <w:ind w:firstLine="284"/>
        <w:jc w:val="both"/>
        <w:rPr>
          <w:rFonts w:ascii="Times New Roman" w:hAnsi="Times New Roman" w:cs="Times New Roman"/>
          <w:szCs w:val="24"/>
        </w:rPr>
      </w:pPr>
      <w:r>
        <w:rPr>
          <w:rFonts w:cs="Times New Roman" w:ascii="Times New Roman" w:hAnsi="Times New Roman"/>
          <w:szCs w:val="24"/>
        </w:rPr>
        <w:t xml:space="preserve">1. Tiekėjui nenurodžius, kokia informacija yra konfidenciali, laikoma, kad konfidencialios informacijos pasiūlyme nėra. </w:t>
      </w:r>
    </w:p>
    <w:p>
      <w:pPr>
        <w:pStyle w:val="Normal"/>
        <w:spacing w:lineRule="auto" w:line="240" w:before="0" w:after="0"/>
        <w:ind w:firstLine="284"/>
        <w:jc w:val="both"/>
        <w:rPr>
          <w:rFonts w:ascii="Times New Roman" w:hAnsi="Times New Roman" w:cs="Times New Roman"/>
          <w:strike/>
          <w:szCs w:val="24"/>
        </w:rPr>
      </w:pPr>
      <w:r>
        <w:rPr>
          <w:rFonts w:cs="Times New Roman" w:ascii="Times New Roman" w:hAnsi="Times New Roman"/>
          <w:szCs w:val="24"/>
        </w:rPr>
        <w:t xml:space="preserve">2. Informuojame, kad vadovaujantis Viešųjų pirkimų tarnybos direktoriaus 2019 m. sausio 24 d. Nr. 1S-1830 punktu pirkimo vykdytojas laimėjusių dalyvių pasiūlymus, sudarytas pirkimo sutartis, preliminariąsias sutartis bei vidaus sandorius viešina CVP IS ne vėliau kaip per 15 kalendorinių dienų nuo pirkimo sutarties, preliminariosios sutarties ar vidaus sandorio sudarymo, bet ne vėliau nei iki pirmojo mokėjimo pagal jį pradžios. Jei pirkimo vykdytojas keičia sudarytą pirkimo sutartį, preliminariąją sutartį ar vidaus sandorį, šie pakeitimai turi būti paskelbti CVP IS ne vėliau kaip per 15 kalendorinių dienų nuo atitinkamų pakeitimų atlikimo. </w:t>
      </w:r>
      <w:r>
        <w:rPr>
          <w:rFonts w:cs="Times New Roman" w:ascii="Times New Roman" w:hAnsi="Times New Roman"/>
          <w:b/>
          <w:szCs w:val="24"/>
        </w:rPr>
        <w:t>Pasiūlymo dalis, kurios dalyvis nenurodė kaip konfidencialios, bus viešinama Viešųjų pirkimų tarnybos direktoriaus 2019 m.sausio 24 d. įsakyme Nr. 1S-18 nustatyta tvarka.</w:t>
      </w:r>
    </w:p>
    <w:p>
      <w:pPr>
        <w:pStyle w:val="Normal"/>
        <w:shd w:val="clear" w:color="auto" w:fill="FFFFFF"/>
        <w:spacing w:lineRule="auto" w:line="240" w:before="0" w:after="0"/>
        <w:ind w:firstLine="284"/>
        <w:jc w:val="both"/>
        <w:rPr>
          <w:rFonts w:ascii="Times New Roman" w:hAnsi="Times New Roman" w:cs="Times New Roman"/>
          <w:b/>
          <w:szCs w:val="24"/>
        </w:rPr>
      </w:pPr>
      <w:r>
        <w:rPr>
          <w:rFonts w:cs="Times New Roman" w:ascii="Times New Roman" w:hAnsi="Times New Roman"/>
          <w:b/>
          <w:szCs w:val="24"/>
        </w:rPr>
      </w:r>
    </w:p>
    <w:p>
      <w:pPr>
        <w:pStyle w:val="Linija"/>
        <w:spacing w:beforeAutospacing="0" w:before="0" w:afterAutospacing="0" w:after="0"/>
        <w:jc w:val="center"/>
        <w:rPr/>
      </w:pPr>
      <w:r>
        <w:rPr/>
      </w:r>
    </w:p>
    <w:tbl>
      <w:tblPr>
        <w:tblW w:w="9828" w:type="dxa"/>
        <w:jc w:val="left"/>
        <w:tblInd w:w="108" w:type="dxa"/>
        <w:tblLayout w:type="fixed"/>
        <w:tblCellMar>
          <w:top w:w="0" w:type="dxa"/>
          <w:left w:w="108" w:type="dxa"/>
          <w:bottom w:w="0" w:type="dxa"/>
          <w:right w:w="108" w:type="dxa"/>
        </w:tblCellMar>
        <w:tblLook w:val="04a0"/>
      </w:tblPr>
      <w:tblGrid>
        <w:gridCol w:w="3283"/>
        <w:gridCol w:w="602"/>
        <w:gridCol w:w="1983"/>
        <w:gridCol w:w="703"/>
        <w:gridCol w:w="2611"/>
        <w:gridCol w:w="645"/>
      </w:tblGrid>
      <w:tr>
        <w:trPr>
          <w:trHeight w:val="285" w:hRule="atLeast"/>
        </w:trPr>
        <w:tc>
          <w:tcPr>
            <w:tcW w:w="3283" w:type="dxa"/>
            <w:tcBorders>
              <w:bottom w:val="single" w:sz="4" w:space="0" w:color="000000"/>
            </w:tcBorders>
          </w:tcPr>
          <w:p>
            <w:pPr>
              <w:pStyle w:val="Normal"/>
              <w:spacing w:lineRule="auto" w:line="240" w:before="0" w:after="0"/>
              <w:ind w:right="-1"/>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c>
          <w:tcPr>
            <w:tcW w:w="602" w:type="dxa"/>
            <w:tcBorders/>
          </w:tcPr>
          <w:p>
            <w:pPr>
              <w:pStyle w:val="Normal"/>
              <w:spacing w:lineRule="auto" w:line="240" w:before="0" w:after="0"/>
              <w:ind w:right="-1"/>
              <w:jc w:val="center"/>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c>
          <w:tcPr>
            <w:tcW w:w="1983" w:type="dxa"/>
            <w:tcBorders>
              <w:bottom w:val="single" w:sz="4" w:space="0" w:color="000000"/>
            </w:tcBorders>
          </w:tcPr>
          <w:p>
            <w:pPr>
              <w:pStyle w:val="Normal"/>
              <w:spacing w:lineRule="auto" w:line="240" w:before="0" w:after="0"/>
              <w:ind w:right="-1"/>
              <w:jc w:val="center"/>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c>
          <w:tcPr>
            <w:tcW w:w="703" w:type="dxa"/>
            <w:tcBorders/>
          </w:tcPr>
          <w:p>
            <w:pPr>
              <w:pStyle w:val="Normal"/>
              <w:spacing w:lineRule="auto" w:line="240" w:before="0" w:after="0"/>
              <w:ind w:right="-1"/>
              <w:jc w:val="center"/>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c>
          <w:tcPr>
            <w:tcW w:w="2611" w:type="dxa"/>
            <w:tcBorders>
              <w:bottom w:val="single" w:sz="4" w:space="0" w:color="000000"/>
            </w:tcBorders>
          </w:tcPr>
          <w:p>
            <w:pPr>
              <w:pStyle w:val="Normal"/>
              <w:spacing w:lineRule="auto" w:line="240" w:before="0" w:after="0"/>
              <w:ind w:right="-1"/>
              <w:jc w:val="right"/>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c>
          <w:tcPr>
            <w:tcW w:w="645" w:type="dxa"/>
            <w:tcBorders/>
          </w:tcPr>
          <w:p>
            <w:pPr>
              <w:pStyle w:val="Normal"/>
              <w:spacing w:lineRule="auto" w:line="240" w:before="0" w:after="0"/>
              <w:ind w:right="-1"/>
              <w:jc w:val="right"/>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r>
      <w:tr>
        <w:trPr>
          <w:trHeight w:val="186" w:hRule="atLeast"/>
        </w:trPr>
        <w:tc>
          <w:tcPr>
            <w:tcW w:w="3283" w:type="dxa"/>
            <w:tcBorders>
              <w:top w:val="single" w:sz="4" w:space="0" w:color="000000"/>
            </w:tcBorders>
          </w:tcPr>
          <w:p>
            <w:pPr>
              <w:pStyle w:val="Pagrindinistekstas2"/>
              <w:ind w:hanging="0"/>
              <w:jc w:val="left"/>
              <w:rPr>
                <w:rFonts w:ascii="Times New Roman" w:hAnsi="Times New Roman"/>
                <w:sz w:val="24"/>
                <w:szCs w:val="24"/>
                <w:lang w:val="lt-LT"/>
              </w:rPr>
            </w:pPr>
            <w:r>
              <w:rPr>
                <w:rFonts w:ascii="Times New Roman" w:hAnsi="Times New Roman"/>
                <w:position w:val="6"/>
                <w:sz w:val="24"/>
                <w:szCs w:val="24"/>
                <w:lang w:val="lt-LT"/>
              </w:rPr>
              <w:t>(Tiekėjo arba jo įgalioto asmens pareigų pavadinimas)</w:t>
            </w:r>
          </w:p>
        </w:tc>
        <w:tc>
          <w:tcPr>
            <w:tcW w:w="602" w:type="dxa"/>
            <w:tcBorders/>
          </w:tcPr>
          <w:p>
            <w:pPr>
              <w:pStyle w:val="Normal"/>
              <w:spacing w:lineRule="auto" w:line="240" w:before="0" w:after="0"/>
              <w:ind w:right="-1"/>
              <w:jc w:val="center"/>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c>
          <w:tcPr>
            <w:tcW w:w="1983" w:type="dxa"/>
            <w:tcBorders>
              <w:top w:val="single" w:sz="4" w:space="0" w:color="000000"/>
            </w:tcBorders>
          </w:tcPr>
          <w:p>
            <w:pPr>
              <w:pStyle w:val="Normal"/>
              <w:spacing w:lineRule="auto" w:line="240" w:before="0" w:after="0"/>
              <w:ind w:right="-1"/>
              <w:jc w:val="center"/>
              <w:rPr>
                <w:rFonts w:ascii="Times New Roman" w:hAnsi="Times New Roman" w:eastAsia="Calibri" w:cs="Times New Roman"/>
                <w:sz w:val="24"/>
                <w:szCs w:val="24"/>
                <w:lang w:val="lt-LT" w:eastAsia="en-US"/>
              </w:rPr>
            </w:pPr>
            <w:r>
              <w:rPr>
                <w:rFonts w:cs="Times New Roman" w:ascii="Times New Roman" w:hAnsi="Times New Roman"/>
                <w:position w:val="4"/>
                <w:szCs w:val="24"/>
              </w:rPr>
              <w:t>(Parašas)</w:t>
            </w:r>
          </w:p>
        </w:tc>
        <w:tc>
          <w:tcPr>
            <w:tcW w:w="703" w:type="dxa"/>
            <w:tcBorders/>
          </w:tcPr>
          <w:p>
            <w:pPr>
              <w:pStyle w:val="Normal"/>
              <w:spacing w:lineRule="auto" w:line="240" w:before="0" w:after="0"/>
              <w:ind w:right="-1"/>
              <w:jc w:val="center"/>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c>
          <w:tcPr>
            <w:tcW w:w="2611" w:type="dxa"/>
            <w:tcBorders>
              <w:top w:val="single" w:sz="4" w:space="0" w:color="000000"/>
            </w:tcBorders>
          </w:tcPr>
          <w:p>
            <w:pPr>
              <w:pStyle w:val="Normal"/>
              <w:spacing w:lineRule="auto" w:line="240" w:before="0" w:after="0"/>
              <w:ind w:right="-1"/>
              <w:jc w:val="center"/>
              <w:rPr>
                <w:rFonts w:ascii="Times New Roman" w:hAnsi="Times New Roman" w:eastAsia="Calibri" w:cs="Times New Roman"/>
                <w:sz w:val="24"/>
                <w:szCs w:val="24"/>
                <w:lang w:val="lt-LT" w:eastAsia="en-US"/>
              </w:rPr>
            </w:pPr>
            <w:r>
              <w:rPr>
                <w:rFonts w:cs="Times New Roman" w:ascii="Times New Roman" w:hAnsi="Times New Roman"/>
                <w:position w:val="4"/>
                <w:szCs w:val="24"/>
              </w:rPr>
              <w:t>(Vardas ir pavardė)</w:t>
            </w:r>
          </w:p>
        </w:tc>
        <w:tc>
          <w:tcPr>
            <w:tcW w:w="645" w:type="dxa"/>
            <w:tcBorders/>
          </w:tcPr>
          <w:p>
            <w:pPr>
              <w:pStyle w:val="Normal"/>
              <w:spacing w:lineRule="auto" w:line="240" w:before="0" w:after="0"/>
              <w:ind w:right="-1"/>
              <w:jc w:val="center"/>
              <w:rPr>
                <w:rFonts w:ascii="Times New Roman" w:hAnsi="Times New Roman" w:eastAsia="Calibri" w:cs="Times New Roman"/>
                <w:sz w:val="24"/>
                <w:szCs w:val="24"/>
                <w:lang w:val="lt-LT" w:eastAsia="en-US"/>
              </w:rPr>
            </w:pPr>
            <w:r>
              <w:rPr>
                <w:rFonts w:eastAsia="Calibri" w:cs="Times New Roman" w:ascii="Times New Roman" w:hAnsi="Times New Roman"/>
                <w:sz w:val="24"/>
                <w:szCs w:val="24"/>
                <w:lang w:val="lt-LT" w:eastAsia="en-US"/>
              </w:rPr>
            </w:r>
          </w:p>
        </w:tc>
      </w:tr>
    </w:tbl>
    <w:p>
      <w:pPr>
        <w:pStyle w:val="Normal"/>
        <w:spacing w:lineRule="auto" w:line="240" w:before="0" w:after="0"/>
        <w:rPr>
          <w:rFonts w:ascii="Times New Roman" w:hAnsi="Times New Roman" w:eastAsia="Calibri" w:cs="Times New Roman"/>
          <w:szCs w:val="24"/>
          <w:lang w:val="lt-LT" w:eastAsia="en-US"/>
        </w:rPr>
      </w:pPr>
      <w:r>
        <w:rPr>
          <w:rFonts w:eastAsia="Calibri" w:cs="Times New Roman" w:ascii="Times New Roman" w:hAnsi="Times New Roman"/>
          <w:szCs w:val="24"/>
          <w:lang w:val="lt-LT" w:eastAsia="en-US"/>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bookmarkStart w:id="70" w:name="_Ref40278562"/>
      <w:bookmarkStart w:id="71" w:name="_Ref39484039"/>
      <w:bookmarkStart w:id="72" w:name="_Ref40278562"/>
      <w:bookmarkStart w:id="73" w:name="_Ref39484039"/>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t xml:space="preserve">Pirkimo sąlygų 7 priedas </w:t>
      </w:r>
    </w:p>
    <w:p>
      <w:pPr>
        <w:pStyle w:val="Normal"/>
        <w:spacing w:lineRule="auto" w:line="240" w:before="0" w:after="0"/>
        <w:ind w:left="7200"/>
        <w:rPr>
          <w:rFonts w:ascii="Arial" w:hAnsi="Arial" w:cs="Arial"/>
          <w:b/>
          <w:bCs/>
          <w:smallCaps/>
          <w:sz w:val="24"/>
          <w:szCs w:val="24"/>
        </w:rPr>
      </w:pPr>
      <w:r>
        <w:rPr>
          <w:rFonts w:eastAsia="Calibri" w:cs="Arial" w:ascii="Arial" w:hAnsi="Arial"/>
          <w:sz w:val="24"/>
          <w:szCs w:val="24"/>
        </w:rPr>
        <w:t>„</w:t>
      </w:r>
      <w:r>
        <w:rPr>
          <w:rFonts w:eastAsia="Calibri" w:cs="Arial" w:ascii="Arial" w:hAnsi="Arial"/>
          <w:sz w:val="24"/>
          <w:szCs w:val="24"/>
        </w:rPr>
        <w:t>Pasiūlymų vertinimo kriterijai ir sąlygos“</w:t>
      </w:r>
      <w:bookmarkEnd w:id="72"/>
      <w:bookmarkEnd w:id="73"/>
    </w:p>
    <w:p>
      <w:pPr>
        <w:pStyle w:val="Normal"/>
        <w:spacing w:lineRule="auto" w:line="240" w:before="0" w:after="0"/>
        <w:jc w:val="center"/>
        <w:rPr>
          <w:rFonts w:ascii="Arial" w:hAnsi="Arial" w:cs="Arial"/>
          <w:b/>
          <w:sz w:val="24"/>
          <w:szCs w:val="24"/>
        </w:rPr>
      </w:pPr>
      <w:r>
        <w:rPr>
          <w:rFonts w:cs="Arial" w:ascii="Arial" w:hAnsi="Arial"/>
          <w:b/>
          <w:sz w:val="24"/>
          <w:szCs w:val="24"/>
        </w:rPr>
      </w:r>
    </w:p>
    <w:p>
      <w:pPr>
        <w:pStyle w:val="Normal"/>
        <w:spacing w:lineRule="auto" w:line="240" w:before="0" w:after="0"/>
        <w:jc w:val="center"/>
        <w:rPr>
          <w:rFonts w:ascii="Arial" w:hAnsi="Arial" w:cs="Arial"/>
          <w:b/>
          <w:bCs/>
          <w:sz w:val="24"/>
          <w:szCs w:val="24"/>
        </w:rPr>
      </w:pPr>
      <w:r>
        <w:rPr>
          <w:rFonts w:cs="Arial" w:ascii="Arial" w:hAnsi="Arial"/>
          <w:b/>
          <w:bCs/>
          <w:sz w:val="24"/>
          <w:szCs w:val="24"/>
        </w:rPr>
        <w:t>PASIŪLYMŲ VERTINIMO KRITERIJAI IR SĄLYGOS</w:t>
      </w:r>
    </w:p>
    <w:p>
      <w:pPr>
        <w:pStyle w:val="Normal"/>
        <w:spacing w:lineRule="auto" w:line="240" w:before="0" w:after="0"/>
        <w:rPr>
          <w:rFonts w:ascii="Arial" w:hAnsi="Arial" w:cs="Arial"/>
          <w:b/>
          <w:bCs/>
          <w:sz w:val="24"/>
          <w:szCs w:val="24"/>
        </w:rPr>
      </w:pPr>
      <w:r>
        <w:rPr>
          <w:rFonts w:cs="Arial" w:ascii="Arial" w:hAnsi="Arial"/>
          <w:b/>
          <w:bCs/>
          <w:sz w:val="24"/>
          <w:szCs w:val="24"/>
        </w:rPr>
      </w:r>
    </w:p>
    <w:p>
      <w:pPr>
        <w:pStyle w:val="ListParagraph"/>
        <w:numPr>
          <w:ilvl w:val="0"/>
          <w:numId w:val="22"/>
        </w:numPr>
        <w:tabs>
          <w:tab w:val="clear" w:pos="1296"/>
          <w:tab w:val="left" w:pos="851" w:leader="none"/>
          <w:tab w:val="left" w:pos="1276" w:leader="none"/>
        </w:tabs>
        <w:spacing w:lineRule="auto" w:line="240" w:before="0" w:after="0"/>
        <w:ind w:firstLine="567" w:left="0"/>
        <w:contextualSpacing w:val="false"/>
        <w:jc w:val="both"/>
        <w:rPr>
          <w:rFonts w:ascii="Arial" w:hAnsi="Arial" w:cs="Arial"/>
          <w:sz w:val="24"/>
          <w:szCs w:val="24"/>
        </w:rPr>
      </w:pPr>
      <w:r>
        <w:rPr>
          <w:rFonts w:cs="Arial" w:ascii="Arial" w:hAnsi="Arial"/>
          <w:sz w:val="24"/>
          <w:szCs w:val="24"/>
        </w:rPr>
        <w:t>Perkančioji organizacija ekonomiškai naudingiausią pasiūlymą išrenka pagal pasiūlytą nuolaidos procentą.</w:t>
      </w:r>
      <w:r>
        <w:rPr>
          <w:rFonts w:eastAsia="Times New Roman" w:cs="Arial" w:ascii="Arial" w:hAnsi="Arial"/>
          <w:sz w:val="24"/>
          <w:szCs w:val="24"/>
          <w:lang w:eastAsia="en-US"/>
        </w:rPr>
        <w:t xml:space="preserve"> Ekonomiškai naudingiausiu pasiūlymu laikomas pasiūlymas, kuriama nurodytas didžiausias nuolaidos procentas.</w:t>
      </w:r>
    </w:p>
    <w:p>
      <w:pPr>
        <w:pStyle w:val="ListParagraph"/>
        <w:numPr>
          <w:ilvl w:val="0"/>
          <w:numId w:val="23"/>
        </w:numPr>
        <w:tabs>
          <w:tab w:val="clear" w:pos="1296"/>
          <w:tab w:val="left" w:pos="851" w:leader="none"/>
          <w:tab w:val="left" w:pos="1276" w:leader="none"/>
        </w:tabs>
        <w:spacing w:lineRule="auto" w:line="240" w:before="0" w:after="0"/>
        <w:ind w:firstLine="567" w:left="0"/>
        <w:contextualSpacing w:val="false"/>
        <w:jc w:val="both"/>
        <w:rPr>
          <w:caps w:val="false"/>
          <w:smallCaps w:val="false"/>
        </w:rPr>
      </w:pPr>
      <w:r>
        <w:rPr>
          <w:rFonts w:eastAsia="Calibri" w:cs="Arial" w:ascii="Arial" w:hAnsi="Arial"/>
          <w:bCs/>
          <w:caps w:val="false"/>
          <w:smallCaps w:val="false"/>
          <w:sz w:val="24"/>
          <w:szCs w:val="24"/>
        </w:rPr>
        <w:t>Bendrieji pasiūlymų vertinimo principai išdėstyti Bendrųjų pirkimo sąlygų 17 skyriuje ir Specialiųjų pirkimo sąlygų 9 skyriuje.</w:t>
      </w:r>
    </w:p>
    <w:p>
      <w:pPr>
        <w:pStyle w:val="ListParagraph"/>
        <w:tabs>
          <w:tab w:val="clear" w:pos="1296"/>
          <w:tab w:val="left" w:pos="851" w:leader="none"/>
          <w:tab w:val="left" w:pos="1276" w:leader="none"/>
        </w:tabs>
        <w:spacing w:lineRule="auto" w:line="240" w:before="0" w:after="0"/>
        <w:ind w:firstLine="567" w:left="0"/>
        <w:contextualSpacing w:val="false"/>
        <w:jc w:val="both"/>
        <w:rPr>
          <w:rFonts w:ascii="Arial" w:hAnsi="Arial" w:eastAsia="Calibri" w:cs="Arial"/>
          <w:bCs/>
          <w:sz w:val="24"/>
          <w:szCs w:val="24"/>
        </w:rPr>
      </w:pPr>
      <w:r>
        <w:rPr>
          <w:rFonts w:eastAsia="Calibri" w:cs="Arial" w:ascii="Arial" w:hAnsi="Arial"/>
          <w:bCs/>
          <w:sz w:val="24"/>
          <w:szCs w:val="24"/>
        </w:rPr>
      </w:r>
    </w:p>
    <w:p>
      <w:pPr>
        <w:pStyle w:val="ListParagraph"/>
        <w:tabs>
          <w:tab w:val="clear" w:pos="1296"/>
          <w:tab w:val="left" w:pos="851" w:leader="none"/>
          <w:tab w:val="left" w:pos="1276" w:leader="none"/>
        </w:tabs>
        <w:spacing w:lineRule="auto" w:line="240" w:before="0" w:after="0"/>
        <w:ind w:firstLine="567" w:left="0"/>
        <w:contextualSpacing w:val="false"/>
        <w:jc w:val="both"/>
        <w:rPr>
          <w:rFonts w:ascii="Arial" w:hAnsi="Arial" w:eastAsia="Calibri" w:cs="Arial"/>
          <w:bCs/>
          <w:sz w:val="24"/>
          <w:szCs w:val="24"/>
        </w:rPr>
      </w:pPr>
      <w:r>
        <w:rPr>
          <w:rFonts w:eastAsia="Calibri" w:cs="Arial" w:ascii="Arial" w:hAnsi="Arial"/>
          <w:bCs/>
          <w:sz w:val="24"/>
          <w:szCs w:val="24"/>
        </w:rPr>
      </w:r>
    </w:p>
    <w:p>
      <w:pPr>
        <w:pStyle w:val="ListParagraph"/>
        <w:tabs>
          <w:tab w:val="clear" w:pos="1296"/>
          <w:tab w:val="left" w:pos="851" w:leader="none"/>
          <w:tab w:val="left" w:pos="1276" w:leader="none"/>
        </w:tabs>
        <w:spacing w:lineRule="auto" w:line="240" w:before="0" w:after="0"/>
        <w:ind w:firstLine="567" w:left="0"/>
        <w:contextualSpacing w:val="false"/>
        <w:jc w:val="center"/>
        <w:rPr>
          <w:caps w:val="false"/>
          <w:smallCaps w:val="false"/>
          <w:u w:val="single"/>
        </w:rPr>
      </w:pPr>
      <w:r>
        <w:rPr>
          <w:rFonts w:eastAsia="Calibri" w:cs="Arial" w:ascii="Arial" w:hAnsi="Arial"/>
          <w:bCs/>
          <w:caps w:val="false"/>
          <w:smallCaps w:val="false"/>
          <w:sz w:val="24"/>
          <w:szCs w:val="24"/>
          <w:u w:val="single"/>
        </w:rPr>
        <w:t>_________________</w:t>
      </w:r>
      <w:r>
        <w:br w:type="page"/>
      </w:r>
    </w:p>
    <w:p>
      <w:pPr>
        <w:pStyle w:val="Normal"/>
        <w:spacing w:lineRule="auto" w:line="240" w:before="0" w:after="0"/>
        <w:ind w:left="7200"/>
        <w:rPr>
          <w:rFonts w:ascii="Arial" w:hAnsi="Arial" w:eastAsia="Times New Roman" w:cs="Arial"/>
          <w:i/>
          <w:i/>
        </w:rPr>
      </w:pPr>
      <w:r>
        <w:rPr>
          <w:rFonts w:eastAsia="Times New Roman" w:cs="Arial" w:ascii="Arial" w:hAnsi="Arial"/>
          <w:i/>
        </w:rPr>
      </w:r>
    </w:p>
    <w:p>
      <w:pPr>
        <w:pStyle w:val="Heading2"/>
        <w:spacing w:before="0" w:after="0"/>
        <w:ind w:firstLine="27" w:left="7110"/>
        <w:rPr>
          <w:rFonts w:ascii="Arial" w:hAnsi="Arial" w:cs="Arial"/>
          <w:color w:val="auto"/>
          <w:sz w:val="24"/>
          <w:szCs w:val="24"/>
        </w:rPr>
      </w:pPr>
      <w:bookmarkStart w:id="74" w:name="_Toc187926822"/>
      <w:r>
        <w:rPr>
          <w:rFonts w:cs="Arial" w:ascii="Arial" w:hAnsi="Arial"/>
          <w:color w:val="auto"/>
          <w:sz w:val="24"/>
          <w:szCs w:val="24"/>
        </w:rPr>
        <w:t>Pirkimo sąlygų 8 priedas</w:t>
      </w:r>
      <w:bookmarkEnd w:id="74"/>
      <w:r>
        <w:rPr>
          <w:rFonts w:cs="Arial" w:ascii="Arial" w:hAnsi="Arial"/>
          <w:color w:val="auto"/>
          <w:sz w:val="24"/>
          <w:szCs w:val="24"/>
        </w:rPr>
        <w:t xml:space="preserve"> </w:t>
      </w:r>
    </w:p>
    <w:p>
      <w:pPr>
        <w:pStyle w:val="Heading2"/>
        <w:spacing w:before="0" w:after="0"/>
        <w:ind w:firstLine="27" w:left="7110"/>
        <w:rPr>
          <w:rFonts w:ascii="Arial" w:hAnsi="Arial" w:cs="Arial"/>
          <w:color w:val="auto"/>
          <w:sz w:val="24"/>
          <w:szCs w:val="24"/>
        </w:rPr>
      </w:pPr>
      <w:bookmarkStart w:id="75" w:name="_Toc187926823"/>
      <w:r>
        <w:rPr>
          <w:rFonts w:cs="Arial" w:ascii="Arial" w:hAnsi="Arial"/>
          <w:color w:val="auto"/>
          <w:sz w:val="24"/>
          <w:szCs w:val="24"/>
        </w:rPr>
        <w:t>„</w:t>
      </w:r>
      <w:r>
        <w:rPr>
          <w:rFonts w:cs="Arial" w:ascii="Arial" w:hAnsi="Arial"/>
          <w:color w:val="auto"/>
          <w:sz w:val="24"/>
          <w:szCs w:val="24"/>
        </w:rPr>
        <w:t>Sutarties projektas“</w:t>
      </w:r>
      <w:bookmarkEnd w:id="75"/>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tabs>
          <w:tab w:val="clear" w:pos="1296"/>
          <w:tab w:val="left" w:pos="567" w:leader="none"/>
        </w:tabs>
        <w:spacing w:lineRule="auto" w:line="240" w:before="0" w:after="0"/>
        <w:jc w:val="center"/>
        <w:rPr>
          <w:rFonts w:ascii="Times New Roman" w:hAnsi="Times New Roman" w:eastAsia="Times New Roman" w:cs="Times New Roman"/>
          <w:b/>
          <w:color w:val="000080"/>
          <w:sz w:val="24"/>
          <w:szCs w:val="24"/>
        </w:rPr>
      </w:pPr>
      <w:r>
        <w:rPr>
          <w:rFonts w:eastAsia="Times New Roman" w:cs="Times New Roman" w:ascii="Times New Roman" w:hAnsi="Times New Roman"/>
          <w:b/>
          <w:sz w:val="24"/>
          <w:szCs w:val="24"/>
        </w:rPr>
        <w:t xml:space="preserve">SOCIALINIŲ KORTELIŲ IR JŲ APTARNAVIMO PASLAUGŲ SUTARTIS </w:t>
      </w:r>
    </w:p>
    <w:p>
      <w:pPr>
        <w:pStyle w:val="Normal"/>
        <w:tabs>
          <w:tab w:val="clear" w:pos="1296"/>
          <w:tab w:val="left" w:pos="567" w:leader="none"/>
        </w:tabs>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tabs>
          <w:tab w:val="clear" w:pos="1296"/>
          <w:tab w:val="left" w:pos="567" w:leader="none"/>
        </w:tabs>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2026 m. ________________d. Nr.</w:t>
      </w:r>
    </w:p>
    <w:p>
      <w:pPr>
        <w:pStyle w:val="Normal"/>
        <w:tabs>
          <w:tab w:val="clear" w:pos="1296"/>
          <w:tab w:val="left" w:pos="567" w:leader="none"/>
        </w:tabs>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ind w:firstLine="1298"/>
        <w:jc w:val="both"/>
        <w:rPr>
          <w:rFonts w:ascii="Times New Roman" w:hAnsi="Times New Roman" w:cs="Times New Roman"/>
          <w:sz w:val="24"/>
          <w:szCs w:val="24"/>
        </w:rPr>
      </w:pPr>
      <w:r>
        <w:rPr>
          <w:rFonts w:cs="Times New Roman" w:ascii="Times New Roman" w:hAnsi="Times New Roman"/>
          <w:sz w:val="24"/>
          <w:szCs w:val="24"/>
        </w:rPr>
        <w:t>Prienų rajono savivaldybės administracija (juridinio asmens kodas 288742590), atstovaujama savivaldybės administracijos direktoriaus ..., veikiančio pagal Administracijos nuostatus, toliau vadinama pirkėju, ir ... (juridinio asmens kodas ...) atstovaujamas (-a) ..., veikiančio (-ios) pagal............, toliau vadinama pardavėju, įvykdę viešojo pirkimo procedūras, sudarė šią sutartį (toliau – sutartis, toliau kartu šalys, o atskirai – šalis).</w:t>
      </w:r>
    </w:p>
    <w:p>
      <w:pPr>
        <w:pStyle w:val="Normal"/>
        <w:tabs>
          <w:tab w:val="clear" w:pos="1296"/>
          <w:tab w:val="left" w:pos="567" w:leader="none"/>
        </w:tabs>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keepNext w:val="true"/>
        <w:numPr>
          <w:ilvl w:val="0"/>
          <w:numId w:val="0"/>
        </w:numPr>
        <w:tabs>
          <w:tab w:val="left" w:pos="1296" w:leader="none"/>
        </w:tabs>
        <w:spacing w:lineRule="auto" w:line="240" w:before="0" w:after="0"/>
        <w:ind w:hanging="0" w:left="360"/>
        <w:jc w:val="center"/>
        <w:outlineLvl w:val="0"/>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rPr>
        <w:t>I. SĄVOKOS</w:t>
      </w:r>
    </w:p>
    <w:p>
      <w:pPr>
        <w:pStyle w:val="Normal"/>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1. Socialinė kortelė – magnetinė atsiskaitomoji kortelė, skirta skiriamų socialinių pašalpų ir išmokų vaikams, asmenims ir šeimoms, patiriantiems socialinę riziką, pervedimui, kurios pagalba socialinės kortelės </w:t>
      </w:r>
      <w:r>
        <w:rPr>
          <w:rFonts w:eastAsia="Times New Roman" w:cs="Times New Roman" w:ascii="Times New Roman" w:hAnsi="Times New Roman"/>
          <w:sz w:val="24"/>
          <w:szCs w:val="24"/>
          <w:lang w:eastAsia="lt-LT"/>
        </w:rPr>
        <w:t>turėtojams</w:t>
      </w:r>
      <w:r>
        <w:rPr>
          <w:rFonts w:eastAsia="Times New Roman" w:cs="Times New Roman" w:ascii="Times New Roman" w:hAnsi="Times New Roman"/>
          <w:sz w:val="24"/>
          <w:szCs w:val="24"/>
        </w:rPr>
        <w:t xml:space="preserve"> suteikiama teisė įsigyti maisto produktų ir kitų būtinų prekių, išskyrus alkoholinius gėrimus, tabako gaminius ir loterijos bilietus. Socialinėje kortelėje turi būti nurodytas jos turėtojo vardas, pavardė arba kitokie pardavėjo sąraše nurodyti kortelės turėtoją identifikuojantys duomenys, kortelės turėtojo parašas parašo juostelėje, kortelės galiojimo terminas, numeris. Socialinė kortelė yra išimtinai teikėjo nuosavybė. Socialinė kortelė nėra bankinio tipo kortelė, jai nėra taikomi banko išduodamas korteles reglamentuojantys teisės aktai.</w:t>
      </w:r>
    </w:p>
    <w:p>
      <w:pPr>
        <w:pStyle w:val="Normal"/>
        <w:tabs>
          <w:tab w:val="clear" w:pos="1296"/>
          <w:tab w:val="left" w:pos="1701"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Pardavėjo prekybos taškas – bet kuris prekybos taškas, nuo bet kurios Prienų rajono seniūnijos nutolęs ne daugiau kaip 20 km.</w:t>
      </w:r>
    </w:p>
    <w:p>
      <w:pPr>
        <w:pStyle w:val="Normal"/>
        <w:tabs>
          <w:tab w:val="clear" w:pos="1296"/>
          <w:tab w:val="left" w:pos="1701"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Socialinės kortelės turėtojas – sąraše nurodytas fizinis asmuo, kuriam galiojantys teisės aktai suteikia teisę socialinę kortelę pateikti pardavėjo prekybos centro kasai, prieš fiksuojant prekių pardavimą kasoje.</w:t>
      </w:r>
    </w:p>
    <w:p>
      <w:pPr>
        <w:pStyle w:val="Normal"/>
        <w:tabs>
          <w:tab w:val="clear" w:pos="1296"/>
          <w:tab w:val="left" w:pos="426" w:leader="none"/>
          <w:tab w:val="left" w:pos="1701"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4. Sąrašas – per visą sutarties galiojimo laikotarpį pirkėjo sudaryti bei pardavėjui pateikti atitinkami sąrašai, kuriuose išvardinti socialinių kortelių numeriai, kiekvienam konkrečiam socialinės kortelės turėtojui skirta konkreti pinigų suma, išreikšta Eurais bei bendra socialinių kortelių turėtojams tenkanti pinigų suma, išreikšta Eurais. </w:t>
      </w:r>
    </w:p>
    <w:p>
      <w:pPr>
        <w:pStyle w:val="Normal"/>
        <w:tabs>
          <w:tab w:val="clear" w:pos="1296"/>
          <w:tab w:val="left" w:pos="567" w:leader="none"/>
          <w:tab w:val="left" w:pos="1701"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 Prekės – pardavėjo prekybos centre parduodamos prekės. Į prekių sąrašą neįeina, tabako, alkoholio gaminių (įskaitant alų) bei loterijos bilietai, t.y. socialinės kortelės turėtojas negali įsigyti tabako, alkoholio gaminių (įskaitant alų) bei loterijos bilietų.</w:t>
      </w:r>
    </w:p>
    <w:p>
      <w:pPr>
        <w:pStyle w:val="Normal"/>
        <w:tabs>
          <w:tab w:val="clear" w:pos="1296"/>
          <w:tab w:val="left" w:pos="567" w:leader="none"/>
          <w:tab w:val="left" w:pos="1701"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6. Socialinės kortelės galiojimo terminas nurodytas socialinėje kortelėje, iki kurio jos turėtojas turi teisę gauti prekių pardavėjo prekybos centre.</w:t>
      </w:r>
    </w:p>
    <w:p>
      <w:pPr>
        <w:pStyle w:val="Normal"/>
        <w:tabs>
          <w:tab w:val="clear" w:pos="1296"/>
          <w:tab w:val="left" w:pos="567" w:leader="none"/>
          <w:tab w:val="left" w:pos="1701"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7. Aktas – socialinių kortelių perdavimo priėmimo aktas, kuris šalių pasirašomas kiekvieną kartą pardavėjui perduodant pirkėjui socialines korteles. Akte nurodomas bendras perduotų pirkėjui socialinių kortelių skaičius bei pažymima, kad šis skaičius atitinka sąraše nurodytą socialinių kortelių turėtojų bendrą skaičių bei kad šalys neturi vienai kitai jokių pretenzijų. Aktas gali būti pasirašomas vienu metu abiejų šalių pardavėjo nurodytoje vietoje arba kartu su socialinėmis kortelėmis pardavėjo pasirašytas išsiunčiamas pasirašymui pirkėjui. Šiuo atveju pirkėjas, tinkamai patvirtinęs bei pasirašęs gautą aktą, grąžina pardavėjui paštu pasirašyto akto antro egzemplioriaus originalą.</w:t>
      </w:r>
    </w:p>
    <w:p>
      <w:pPr>
        <w:pStyle w:val="Normal"/>
        <w:tabs>
          <w:tab w:val="clear" w:pos="1296"/>
          <w:tab w:val="left" w:pos="567" w:leader="none"/>
          <w:tab w:val="left" w:pos="1701"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keepNext w:val="true"/>
        <w:numPr>
          <w:ilvl w:val="0"/>
          <w:numId w:val="0"/>
        </w:numPr>
        <w:tabs>
          <w:tab w:val="left" w:pos="1296" w:leader="none"/>
        </w:tabs>
        <w:spacing w:lineRule="auto" w:line="240" w:before="0" w:after="0"/>
        <w:ind w:hanging="0" w:left="360"/>
        <w:jc w:val="center"/>
        <w:outlineLvl w:val="0"/>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rPr>
        <w:t>II. SUTARTIES OBJEKTAS</w:t>
      </w:r>
    </w:p>
    <w:p>
      <w:pPr>
        <w:pStyle w:val="Normal"/>
        <w:spacing w:lineRule="auto" w:line="240" w:before="0" w:after="0"/>
        <w:jc w:val="both"/>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rPr>
      </w:r>
    </w:p>
    <w:p>
      <w:pPr>
        <w:pStyle w:val="BodyText"/>
        <w:spacing w:lineRule="auto" w:line="240" w:before="0" w:after="0"/>
        <w:ind w:firstLine="1298"/>
        <w:jc w:val="both"/>
        <w:rPr/>
      </w:pPr>
      <w:r>
        <w:rPr>
          <w:rFonts w:ascii="Times New Roman" w:hAnsi="Times New Roman"/>
          <w:bCs/>
          <w:sz w:val="24"/>
          <w:szCs w:val="24"/>
        </w:rPr>
        <w:t xml:space="preserve">8. </w:t>
      </w:r>
      <w:r>
        <w:rPr>
          <w:rFonts w:ascii="Times New Roman" w:hAnsi="Times New Roman"/>
          <w:sz w:val="24"/>
          <w:szCs w:val="24"/>
        </w:rPr>
        <w:t>Šia Sutartimi ir šioje Sutartyje nustatyta tvarka bei sąlygomis paslaugos pardavėjas įsipareigoja perduoti jam nuosavybės teise priklausančias, Sutarties 1 straipsnio 5 dalyje nurodytas prekes paslaugos pirkėjo Sąraše nurodytų Socialinių kortelių turėtojų nuosavybėn, o paslaugos pirkėjas įsipareigoja sumokėti už šias prekes Sutartyje nustatytą kainą Sutartyje numatytomis sąlygomis bei tvarka</w:t>
      </w:r>
    </w:p>
    <w:p>
      <w:pPr>
        <w:pStyle w:val="BodyText"/>
        <w:spacing w:lineRule="auto" w:line="240" w:before="0" w:after="0"/>
        <w:ind w:firstLine="1298"/>
        <w:jc w:val="both"/>
        <w:rPr>
          <w:rFonts w:ascii="Times New Roman" w:hAnsi="Times New Roman"/>
          <w:color w:val="000000"/>
          <w:sz w:val="24"/>
          <w:szCs w:val="24"/>
          <w:lang w:eastAsia="lt-LT"/>
        </w:rPr>
      </w:pPr>
      <w:r>
        <w:rPr>
          <w:rFonts w:ascii="Times New Roman" w:hAnsi="Times New Roman"/>
          <w:color w:val="000000"/>
          <w:sz w:val="24"/>
          <w:szCs w:val="24"/>
          <w:lang w:eastAsia="lt-LT"/>
        </w:rPr>
        <w:t>9. Šioje sutartyje nustatyta tvarka bei sąlygomis pardavėjas įsipareigoja perduoti jam nuosavybės teise priklausančias, sutarties 5 punkte nurodytas prekes pirkėjo sąraše nurodytų socialinių kortelių turėtojų nuosavybėn, o pirkėjas įsipareigoja pervesti socialines pašalpas ir išmokas sutartyje numatytomis sąlygomis bei tvarka. Pardavėjas organizuoja socialinių kortelių pagaminimą ir aptarnavimą, užtikrina maisto, pramoninių bei asmens higienos prekių įsigijimą panaudojant socialines korteles. Pirkėjas kiekvieną mėnesį perveda į socialines korteles asmenims, patyrusiems socialinę riziką, socialines pašalpas ir išmokas vaikams. Socialinės paramos skyrius pardavėjui pateikia pareiškėjų, patiriančių socialinę riziką, kortelių numerius ir nurodo skiriamą sumą. Asmenys, patiriantys socialinę riziką, socialine kortele gali mokėti už perkamus maisto produktus, drabužius, avalynę, higienos, buities, mokyklines ir kitas būtinas prekes. Socialine kortele draudžiama atsiskaityti už alkoholinius gėrimus (įskaitant alų), tabako gaminius ir loterijos bilietus. Draudžiamas grynųjų pinigų nuo socialinės kortelės sąskaitos nuėmimas.</w:t>
      </w:r>
    </w:p>
    <w:p>
      <w:pPr>
        <w:pStyle w:val="Normal"/>
        <w:spacing w:lineRule="auto" w:line="240" w:before="0" w:after="0"/>
        <w:ind w:firstLine="1298"/>
        <w:jc w:val="both"/>
        <w:rPr>
          <w:rFonts w:ascii="Times New Roman" w:hAnsi="Times New Roman" w:eastAsia="Times New Roman" w:cs="Times New Roman"/>
          <w:color w:val="000000"/>
          <w:sz w:val="24"/>
          <w:szCs w:val="24"/>
          <w:lang w:eastAsia="lt-LT"/>
        </w:rPr>
      </w:pPr>
      <w:r>
        <w:rPr>
          <w:rFonts w:eastAsia="Times New Roman" w:cs="Times New Roman" w:ascii="Times New Roman" w:hAnsi="Times New Roman"/>
          <w:color w:val="000000"/>
          <w:sz w:val="24"/>
          <w:szCs w:val="24"/>
          <w:lang w:eastAsia="lt-LT"/>
        </w:rPr>
        <w:t>10. Vidutinis metinis socialinių kortelių turėtojų skaičius apie 200 žmonių. Svyravimas ± 20%.</w:t>
      </w:r>
    </w:p>
    <w:p>
      <w:pPr>
        <w:pStyle w:val="Normal"/>
        <w:keepNext w:val="true"/>
        <w:numPr>
          <w:ilvl w:val="0"/>
          <w:numId w:val="0"/>
        </w:numPr>
        <w:tabs>
          <w:tab w:val="clear" w:pos="1296"/>
          <w:tab w:val="left" w:pos="0" w:leader="none"/>
          <w:tab w:val="left" w:pos="1298" w:leader="none"/>
        </w:tabs>
        <w:spacing w:lineRule="auto" w:line="240" w:before="0" w:after="0"/>
        <w:ind w:firstLine="1298" w:left="0"/>
        <w:jc w:val="center"/>
        <w:outlineLvl w:val="0"/>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keepNext w:val="true"/>
        <w:numPr>
          <w:ilvl w:val="0"/>
          <w:numId w:val="0"/>
        </w:numPr>
        <w:tabs>
          <w:tab w:val="left" w:pos="1296" w:leader="none"/>
        </w:tabs>
        <w:spacing w:lineRule="auto" w:line="240" w:before="0" w:after="0"/>
        <w:ind w:hanging="0" w:left="0"/>
        <w:jc w:val="center"/>
        <w:outlineLvl w:val="0"/>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rPr>
        <w:t>III. SUTARTIES PASLAUGŲ KAINA IR ATSISKAITYMO TVARKA</w:t>
      </w:r>
    </w:p>
    <w:p>
      <w:pPr>
        <w:pStyle w:val="Normal"/>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tabs>
          <w:tab w:val="clear" w:pos="1296"/>
          <w:tab w:val="left" w:pos="1560"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11. Pradinės sutarties vertė, lygi maksimaliai pirkimui skirtai sumai pirkimo dokumentuose ir Sutartyje nurodytoms prekėms įsigyti, yra 450000 Eur be PVM. Pirkėjas neįsipareigoja pervesti visos numatytos maksimalios sumos.</w:t>
      </w:r>
    </w:p>
    <w:p>
      <w:pPr>
        <w:pStyle w:val="Normal"/>
        <w:tabs>
          <w:tab w:val="clear" w:pos="1296"/>
          <w:tab w:val="left" w:pos="1560" w:leader="none"/>
        </w:tabs>
        <w:spacing w:lineRule="auto" w:line="240" w:before="0" w:after="0"/>
        <w:ind w:firstLine="1298"/>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t>12. Visoms socialine kortele perkamoms prekėms taikoma ......  procentų dydžio nuolaida nuo tuo metu galiojančiu prekių kainų. Sutarties galiojimo laikotarpiu prekėms teikiama nuolaida nebus keičiama.</w:t>
      </w:r>
    </w:p>
    <w:p>
      <w:pPr>
        <w:pStyle w:val="Normal"/>
        <w:tabs>
          <w:tab w:val="clear" w:pos="1296"/>
          <w:tab w:val="left" w:pos="1560" w:leader="none"/>
        </w:tabs>
        <w:spacing w:lineRule="auto" w:line="240" w:before="0" w:after="0"/>
        <w:ind w:firstLine="1298"/>
        <w:jc w:val="both"/>
        <w:rPr>
          <w:rFonts w:ascii="Times New Roman" w:hAnsi="Times New Roman" w:eastAsia="Times New Roman" w:cs="Times New Roman"/>
          <w:b/>
          <w:sz w:val="24"/>
          <w:szCs w:val="24"/>
        </w:rPr>
      </w:pPr>
      <w:r>
        <w:rPr>
          <w:rFonts w:eastAsia="Times New Roman" w:cs="Times New Roman" w:ascii="Times New Roman" w:hAnsi="Times New Roman"/>
          <w:sz w:val="24"/>
          <w:szCs w:val="24"/>
        </w:rPr>
        <w:t>13. Pirkėjas, pateikęs sąrašą ir gavęs iš pardavėjo sąskaitą išankstiniam apmokėjimui, ne vėliau kaip per 15 (penkiolika) darbo dienų perveda pardavėjui socialinių kortelių sąraše nurodytą pinigų sumą, o pardavėjas ne vėliau kaip per 7 (septynias) darbo dienas nuo sąrašo gavimo pagamina socialines korteles remdamasis pateiktu sąrašu. Jei socialinių kortelių turėtojai jau turi tokias korteles, pinigus pardavėjas jiems perveda į šias korteles ne vėliau kaip per dieną nuo apmokėjimo.</w:t>
      </w:r>
    </w:p>
    <w:p>
      <w:pPr>
        <w:pStyle w:val="Normal"/>
        <w:tabs>
          <w:tab w:val="clear" w:pos="1296"/>
          <w:tab w:val="left" w:pos="1560"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14. Šalys susitaria, kad jei socialinės kortelės turėtojas socialinės kortelės galiojimo terminu nepanaudos socialinės kortelės ir/arba įgis prekių už mažesnę sumą, nei nurodyta sąraše, tai pasibaigus socialinės kortelės galiojimo terminui, likusią pinigų sumą pardavėjas grąžina pirkėjui per 30 (trisdešimt) darbo dienų po to, kai gauna nepanaudoto likučio socialinėse kortelėse suderinimo akto originalą iš pirkėjo nebent šalys sutartų kitaip.</w:t>
      </w:r>
    </w:p>
    <w:p>
      <w:pPr>
        <w:pStyle w:val="Normal"/>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15. Kiekvienos šalies išlaidos, susijusios su šioje sutartyje numatytų jos įsipareigojimų vykdymu, nebus kompensuojamos kitos šalies.</w:t>
      </w:r>
    </w:p>
    <w:p>
      <w:pPr>
        <w:pStyle w:val="Normal"/>
        <w:spacing w:lineRule="auto" w:line="240" w:before="0" w:after="0"/>
        <w:ind w:firstLine="1298"/>
        <w:jc w:val="both"/>
        <w:rPr>
          <w:rFonts w:ascii="Times New Roman" w:hAnsi="Times New Roman" w:eastAsia="Times New Roman" w:cs="Times New Roman"/>
          <w:color w:val="0070C0"/>
          <w:sz w:val="24"/>
          <w:szCs w:val="24"/>
        </w:rPr>
      </w:pPr>
      <w:r>
        <w:rPr>
          <w:rFonts w:eastAsia="Times New Roman" w:cs="Times New Roman" w:ascii="Times New Roman" w:hAnsi="Times New Roman"/>
          <w:sz w:val="24"/>
          <w:szCs w:val="24"/>
        </w:rPr>
        <w:t>16. Pirkėjui socialinės kortelės perduodamos pervedus pinigines lėšas į pardavėjo sąskaitą.</w:t>
      </w:r>
    </w:p>
    <w:p>
      <w:pPr>
        <w:pStyle w:val="Normal"/>
        <w:keepNext w:val="true"/>
        <w:numPr>
          <w:ilvl w:val="0"/>
          <w:numId w:val="0"/>
        </w:numPr>
        <w:tabs>
          <w:tab w:val="left" w:pos="1296" w:leader="none"/>
        </w:tabs>
        <w:spacing w:lineRule="auto" w:line="240" w:before="0" w:after="0"/>
        <w:ind w:hanging="0" w:left="360"/>
        <w:jc w:val="center"/>
        <w:outlineLvl w:val="0"/>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keepNext w:val="true"/>
        <w:numPr>
          <w:ilvl w:val="0"/>
          <w:numId w:val="0"/>
        </w:numPr>
        <w:tabs>
          <w:tab w:val="left" w:pos="1296" w:leader="none"/>
        </w:tabs>
        <w:spacing w:lineRule="auto" w:line="240" w:before="0" w:after="0"/>
        <w:ind w:hanging="0" w:left="360"/>
        <w:jc w:val="center"/>
        <w:outlineLvl w:val="0"/>
        <w:rPr>
          <w:rFonts w:ascii="Times New Roman" w:hAnsi="Times New Roman" w:eastAsia="Times New Roman" w:cs="Times New Roman"/>
          <w:b/>
          <w:sz w:val="24"/>
          <w:szCs w:val="24"/>
        </w:rPr>
      </w:pPr>
      <w:r>
        <w:rPr>
          <w:rFonts w:eastAsia="Times New Roman" w:cs="Times New Roman" w:ascii="Times New Roman" w:hAnsi="Times New Roman"/>
          <w:b/>
          <w:sz w:val="24"/>
          <w:szCs w:val="24"/>
        </w:rPr>
        <w:t>IV. ŠALIŲ TEISĖS IR PAREIGOS</w:t>
      </w:r>
    </w:p>
    <w:p>
      <w:pPr>
        <w:pStyle w:val="Normal"/>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ind w:firstLine="1298"/>
        <w:rPr>
          <w:rFonts w:ascii="Times New Roman" w:hAnsi="Times New Roman" w:eastAsia="Times New Roman" w:cs="Times New Roman"/>
          <w:sz w:val="24"/>
          <w:szCs w:val="24"/>
        </w:rPr>
      </w:pPr>
      <w:r>
        <w:rPr>
          <w:rFonts w:eastAsia="Times New Roman" w:cs="Times New Roman" w:ascii="Times New Roman" w:hAnsi="Times New Roman"/>
          <w:sz w:val="24"/>
          <w:szCs w:val="24"/>
        </w:rPr>
        <w:t>17. Pardavėjas įsipareigoja:</w:t>
      </w:r>
    </w:p>
    <w:p>
      <w:pPr>
        <w:pStyle w:val="Normal"/>
        <w:tabs>
          <w:tab w:val="clear" w:pos="1296"/>
          <w:tab w:val="left" w:pos="1560"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17.1. parduoti pirkėjo sąraše nurodytų socialinių kortelių turėtojų nuosavybėn kokybiškas prekes, nurodytas sutarties 5 punkte, sutartyje nustatyta tvarka;</w:t>
      </w:r>
    </w:p>
    <w:p>
      <w:pPr>
        <w:pStyle w:val="Normal"/>
        <w:tabs>
          <w:tab w:val="clear" w:pos="1296"/>
          <w:tab w:val="left" w:pos="1560" w:leader="none"/>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17.2. parduoti tik tas prekes, kurios nurodytos sutarties 5 punkte:</w:t>
      </w:r>
    </w:p>
    <w:p>
      <w:pPr>
        <w:pStyle w:val="Normal"/>
        <w:tabs>
          <w:tab w:val="clear" w:pos="1296"/>
          <w:tab w:val="left" w:pos="1276" w:leader="none"/>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17.2.1. pagal pirkėjo pateiktą sąrašą savo sąskaita bei lėšomis pagaminti socialines korteles ne vėliau kaip per 7 (septynias) darbo dienas nuo sąrašo gavimo dienos;</w:t>
      </w:r>
    </w:p>
    <w:p>
      <w:pPr>
        <w:pStyle w:val="Normal"/>
        <w:tabs>
          <w:tab w:val="clear" w:pos="1296"/>
          <w:tab w:val="left" w:pos="1276" w:leader="none"/>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17.2.2. gavęs sąrašą suformuoti duomenis remdamasis sąraše nurodytais duomenimis;</w:t>
      </w:r>
    </w:p>
    <w:p>
      <w:pPr>
        <w:pStyle w:val="Normal"/>
        <w:tabs>
          <w:tab w:val="clear" w:pos="1296"/>
          <w:tab w:val="left" w:pos="1276" w:leader="none"/>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17.2.3. užtikrinti, kad socialinė kortelė atitiktų socialinės kortelės aprašymą;</w:t>
      </w:r>
    </w:p>
    <w:p>
      <w:pPr>
        <w:pStyle w:val="Normal"/>
        <w:tabs>
          <w:tab w:val="clear" w:pos="1296"/>
          <w:tab w:val="left" w:pos="1276" w:leader="none"/>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17.2.4. užtikrinti, kad nebūtų išduodami alkoholiniai gėrimai (įskaitant alų), tabako gaminiai ir loterijos bilietai;</w:t>
      </w:r>
    </w:p>
    <w:p>
      <w:pPr>
        <w:pStyle w:val="Normal"/>
        <w:tabs>
          <w:tab w:val="clear" w:pos="1296"/>
          <w:tab w:val="left" w:pos="1276" w:leader="none"/>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17.2.5. užtikrinti, kad  socialinės kortelės turėtojas galėtų įsigyti prekes už sąraše nurodytą pinigų sumą;</w:t>
      </w:r>
    </w:p>
    <w:p>
      <w:pPr>
        <w:pStyle w:val="Normal"/>
        <w:tabs>
          <w:tab w:val="clear" w:pos="1296"/>
          <w:tab w:val="left" w:pos="1276" w:leader="none"/>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17.2.6. informuoti pirkėją dėl  socialinių kortelių atsiėmimo vietos bei terminų; </w:t>
      </w:r>
    </w:p>
    <w:p>
      <w:pPr>
        <w:pStyle w:val="Normal"/>
        <w:tabs>
          <w:tab w:val="clear" w:pos="1296"/>
          <w:tab w:val="left" w:pos="1276" w:leader="none"/>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17.2.7. pirkėjo atstovui patvirtinus socialinių kortelių gavimą parašu akte, perduoti socialines korteles pirkėjo atstovui. Tuo atveju, kai pardavėjo pasirašytas aktas kartu su socialinėmis kortelėmis bus siunčiamas pirkėjui paštu, socialinės kortelės galės būti naudojamos pagal paskirtį tik pardavėjui gavus pirkėjo tinkamai patvirtinto bei pasirašyto akto elektroninę kopiją;</w:t>
      </w:r>
    </w:p>
    <w:p>
      <w:pPr>
        <w:pStyle w:val="Normal"/>
        <w:tabs>
          <w:tab w:val="clear" w:pos="1296"/>
          <w:tab w:val="left" w:pos="1276" w:leader="none"/>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17.2.8. suteikti socialinės kortelės turėtojui teisę be papildomo apmokėjimo įsigyti prekes  pardavėjo prekybos centre už sąraše nurodytą pinigų sumą;</w:t>
      </w:r>
    </w:p>
    <w:p>
      <w:pPr>
        <w:pStyle w:val="Normal"/>
        <w:tabs>
          <w:tab w:val="clear" w:pos="1296"/>
          <w:tab w:val="left" w:pos="1276" w:leader="none"/>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17.2.9. užblokuoti socialinę kortelę, gavus pranešimą sutarties 21 punkte nustatyta tvarka;</w:t>
      </w:r>
    </w:p>
    <w:p>
      <w:pPr>
        <w:pStyle w:val="Normal"/>
        <w:tabs>
          <w:tab w:val="clear" w:pos="1296"/>
          <w:tab w:val="left" w:pos="1276" w:leader="none"/>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17.2.10. pirkėjui prašant, per protingą laiką pakartotinai neatlygintinai pagaminti socialinę kortelę ir atkurti blokavimo metu socialinėje kortelėje turėtojui tenkančią pinigų sumą tuo atveju, jei socialinė kortelė yra pirkėjo ar jos turėtojo prarandama, sugadinama, pavagiama ar dėl kitų priežasčių negali būti naudojama pagal paskirtį ne daugiau kaip 2 (du) kartus; jei kortelė pergaminama 3 (tris) kartus ir daugiau, bus taikomas 2 Eur (dviejų eurų) kortelės pergaminimo mokestis, kuris bus nuskaitomas nuo socialinės kortelės turėtojo pinigų likučio.</w:t>
      </w:r>
    </w:p>
    <w:p>
      <w:pPr>
        <w:pStyle w:val="Normal"/>
        <w:tabs>
          <w:tab w:val="clear" w:pos="1296"/>
          <w:tab w:val="left" w:pos="1276" w:leader="none"/>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17.2.11. pasibaigus socialinės kortelės galiojimo terminui ir jos turėtojui neįsigijus prekių arba įsigijus prekių už mažesnę, negu jam skirtą pagal sąrašą, sumą, likusią sumą grąžinti pirkėjui per 30 (trisdešimt) kalendorinių dienų;</w:t>
      </w:r>
    </w:p>
    <w:p>
      <w:pPr>
        <w:pStyle w:val="Normal"/>
        <w:keepNext w:val="true"/>
        <w:numPr>
          <w:ilvl w:val="0"/>
          <w:numId w:val="0"/>
        </w:numPr>
        <w:tabs>
          <w:tab w:val="left" w:pos="1296" w:leader="none"/>
        </w:tabs>
        <w:spacing w:lineRule="auto" w:line="240" w:before="0" w:after="0"/>
        <w:ind w:firstLine="1298" w:left="0"/>
        <w:outlineLvl w:val="0"/>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18. Pardavėjas turi teisę:</w:t>
      </w:r>
    </w:p>
    <w:p>
      <w:pPr>
        <w:pStyle w:val="Normal"/>
        <w:tabs>
          <w:tab w:val="clear" w:pos="1296"/>
          <w:tab w:val="left" w:pos="1701"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18.1. sustabdyti prekių pardavimą, jeigu pirkėjas nėra atsiskaitęs pagal sutarties sąlygas arba tol, kol pirkėjas įvykdys sutartyje jam nustatytus įsipareigojimus;</w:t>
      </w:r>
    </w:p>
    <w:p>
      <w:pPr>
        <w:pStyle w:val="Normal"/>
        <w:tabs>
          <w:tab w:val="clear" w:pos="1296"/>
          <w:tab w:val="left" w:pos="1701"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18.2. nepriimti atgal iš pirkėjo ar socialinių kortelių turėtojų įsigytų kokybiškų bei sutarties reikalavimus atitinkančių prekių.</w:t>
      </w:r>
    </w:p>
    <w:p>
      <w:pPr>
        <w:pStyle w:val="Normal"/>
        <w:tabs>
          <w:tab w:val="clear" w:pos="1296"/>
          <w:tab w:val="left" w:pos="1560"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19. Pirkėjas įsipareigoja:</w:t>
      </w:r>
    </w:p>
    <w:p>
      <w:pPr>
        <w:pStyle w:val="Normal"/>
        <w:keepNext w:val="true"/>
        <w:numPr>
          <w:ilvl w:val="0"/>
          <w:numId w:val="0"/>
        </w:numPr>
        <w:tabs>
          <w:tab w:val="clear" w:pos="1296"/>
          <w:tab w:val="left" w:pos="1843" w:leader="none"/>
        </w:tabs>
        <w:spacing w:lineRule="auto" w:line="240" w:before="0" w:after="0"/>
        <w:ind w:firstLine="1298" w:left="0"/>
        <w:jc w:val="both"/>
        <w:outlineLvl w:val="0"/>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t>19.1. pervesti socialines išmokas (socialines pašalpas ir išmokas vaikams) sąraše numatytiems asmenims sutartyje numatytomis sąlygomis, tvarka bei terminais;</w:t>
      </w:r>
    </w:p>
    <w:p>
      <w:pPr>
        <w:pStyle w:val="Normal"/>
        <w:tabs>
          <w:tab w:val="clear" w:pos="1296"/>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19.2. priimti iš pardavėjo pagamintas socialines korteles per šalių sutartą laiką pardavėjo nurodytoje vietoje;</w:t>
      </w:r>
    </w:p>
    <w:p>
      <w:pPr>
        <w:pStyle w:val="Normal"/>
        <w:tabs>
          <w:tab w:val="clear" w:pos="1296"/>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19.3. pateikti pardavėjui Socialinių išmokų, skirtų asmenims, patiriantiems socialinę riziką, sąrašą (sutarties 1 priedas) 1 kartą per mėnesį;</w:t>
      </w:r>
    </w:p>
    <w:p>
      <w:pPr>
        <w:pStyle w:val="Normal"/>
        <w:tabs>
          <w:tab w:val="clear" w:pos="1296"/>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19.4. atsiimdamas socialines korteles, jų gavimą patvirtinti parašu akte, kuris tampa šios sutarties neatskiriama dalis, o tuo atveju, kai aktas yra siunčiamas pirkėjui paštu, tinkamai patvirtinto bei pasirašyto akto kopiją išsiųsti pardavėjui elektroninę kopiją bei grąžinti akto antro egzemplioriaus originalą paštu;</w:t>
      </w:r>
    </w:p>
    <w:p>
      <w:pPr>
        <w:pStyle w:val="Normal"/>
        <w:tabs>
          <w:tab w:val="clear" w:pos="1296"/>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19.5. remdamasis sąrašu tinkamai atiduoti socialines korteles jų turėtojams;</w:t>
      </w:r>
    </w:p>
    <w:p>
      <w:pPr>
        <w:pStyle w:val="Normal"/>
        <w:tabs>
          <w:tab w:val="clear" w:pos="1296"/>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19.6. tinkamai informuoti socialinių kortelių turėtojus apie tai, kokias prekes galima įsigyti, naudojant socialines korteles;</w:t>
      </w:r>
    </w:p>
    <w:p>
      <w:pPr>
        <w:pStyle w:val="Normal"/>
        <w:tabs>
          <w:tab w:val="clear" w:pos="1296"/>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19.7. sutarties 21 punkte nustatyta tvarka nedelsiant elektroniniu paštu informuoti pardavėją apie kortelių praradimą, pametimą, pavogimą bei bet kokio pobūdžio netekimą ar sugadinimą;</w:t>
      </w:r>
    </w:p>
    <w:p>
      <w:pPr>
        <w:pStyle w:val="Normal"/>
        <w:tabs>
          <w:tab w:val="clear" w:pos="1296"/>
          <w:tab w:val="left" w:pos="1843"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19.8. atlyginti pardavėjo žalą, atsiradusią dėl to, kad pirkėjas nevykdo arba netinkamai vykdo savo įsipareigojimus pagal sutartį arba pirkėjas pažeidžia sutartyje numatytą atsiskaitymo už prekes tvarką.</w:t>
      </w:r>
    </w:p>
    <w:p>
      <w:pPr>
        <w:pStyle w:val="Normal"/>
        <w:tabs>
          <w:tab w:val="clear" w:pos="1296"/>
          <w:tab w:val="left" w:pos="1560" w:leader="none"/>
        </w:tabs>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20. Pirkėjas turi teisę sustabdyti mokėjimus, jei pardavėjas nevykdo sutarties 17.2.1 papunktyje numatytų įsipareigojimų.</w:t>
      </w:r>
    </w:p>
    <w:p>
      <w:pPr>
        <w:pStyle w:val="Normal"/>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keepNext w:val="true"/>
        <w:numPr>
          <w:ilvl w:val="0"/>
          <w:numId w:val="0"/>
        </w:numPr>
        <w:tabs>
          <w:tab w:val="left" w:pos="1296" w:leader="none"/>
        </w:tabs>
        <w:spacing w:lineRule="auto" w:line="240" w:before="0" w:after="0"/>
        <w:ind w:hanging="0" w:left="0"/>
        <w:jc w:val="center"/>
        <w:outlineLvl w:val="0"/>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rPr>
        <w:t>V. ŠALIŲ ATSAKOMYBĖ</w:t>
      </w:r>
    </w:p>
    <w:p>
      <w:pPr>
        <w:pStyle w:val="Normal"/>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21. Jei socialinę kortelę socialinės kortelės turėtojas praranda, pameta, sugadina ar bet kokiu kitu būdu jos netenka arba ji tampa netinkama jos naudojimui pagal paskirtį arba socialinė kortelė iš jos turėtojo yra pavagiama, apie tai pardavėją elektroniniu paštu </w:t>
      </w:r>
      <w:r>
        <w:rPr>
          <w:rFonts w:cs="Times New Roman" w:ascii="Times New Roman" w:hAnsi="Times New Roman"/>
          <w:sz w:val="24"/>
          <w:szCs w:val="24"/>
        </w:rPr>
        <w:t xml:space="preserve">............................. </w:t>
      </w:r>
      <w:r>
        <w:rPr>
          <w:rFonts w:eastAsia="Times New Roman" w:cs="Times New Roman" w:ascii="Times New Roman" w:hAnsi="Times New Roman"/>
          <w:sz w:val="24"/>
          <w:szCs w:val="24"/>
        </w:rPr>
        <w:t>nedelsiant informuoja pats pirkėjas pirkėjo darbo dienomis (t.y., nuo pirmadienio iki penktadienio įskaitytinai) bei pirkėjo darbo valandomis (t. y., nuo 8 iki 12 val., nuo 12.45 iki 17val., o penktadienį – nuo 8 iki 15.45 val.), o pardavėjas, gavęs tokį pranešimą, turi nedelsiant, bet ne vėliau kaip per 1 (vieną) darbo valandą nuo pranešimo elektroniniu paštu gavimo momento užblokuoti atitinkamą socialinę kortelę. Pardavėjas turi pareigą užblokuoti socialinę kortelę tik šiame sutarties punkte nurodytomis dienomis bei valandomis ir tik gavus atitinkamą patvirtinimą elektroniniu paštu ir neatsako už bet kokio pobūdžio pasekmes, jeigu negauna iš pirkėjo šiame sutarties punkte minimo pranešimo arba negauna jo elektroniniu paštu arba gauna jį kitokiu, nei šiame sutarties punkte nurodytu laiku (pvz., šeštadienį, 18 val.).</w:t>
      </w:r>
    </w:p>
    <w:p>
      <w:pPr>
        <w:pStyle w:val="Normal"/>
        <w:keepNext w:val="true"/>
        <w:numPr>
          <w:ilvl w:val="0"/>
          <w:numId w:val="0"/>
        </w:numPr>
        <w:tabs>
          <w:tab w:val="left" w:pos="1296" w:leader="none"/>
        </w:tabs>
        <w:spacing w:lineRule="auto" w:line="240" w:before="0" w:after="0"/>
        <w:ind w:firstLine="1298" w:left="0"/>
        <w:jc w:val="both"/>
        <w:outlineLvl w:val="0"/>
        <w:rPr>
          <w:rFonts w:ascii="Times New Roman" w:hAnsi="Times New Roman" w:eastAsia="Times New Roman" w:cs="Times New Roman"/>
          <w:sz w:val="24"/>
          <w:szCs w:val="24"/>
        </w:rPr>
      </w:pPr>
      <w:r>
        <w:rPr>
          <w:rFonts w:eastAsia="Times New Roman" w:cs="Times New Roman" w:ascii="Times New Roman" w:hAnsi="Times New Roman"/>
          <w:bCs/>
          <w:sz w:val="24"/>
          <w:szCs w:val="24"/>
        </w:rPr>
        <w:t xml:space="preserve">22. </w:t>
      </w:r>
      <w:r>
        <w:rPr>
          <w:rFonts w:cs="Times New Roman" w:ascii="Times New Roman" w:hAnsi="Times New Roman"/>
          <w:sz w:val="24"/>
          <w:szCs w:val="24"/>
        </w:rPr>
        <w:t>Pirkėjui pateikus socialinių kortelių turėtojų sąrašą bei sutartyje nustatytu terminu pervedus pardavėjui sąraše nurodytą pinigų sumą, o pardavėjui nepagaminus sutartyje nustatytu terminu sąraše nurodyto kortelių skaičiaus, pardavėjas, pirkėjui raštu pareikalavus, moka pirkėjui 0,02 % (dvi šimtąsias procento) dydžio delspinigius nuo nepagamintoms kortelėms pagal sąrašą tenkančios pinigų sumos už kiekvieną nepagaminimo dieną sąraše nurodyto kortelių skaičiaus. Ši taisyklė taikoma tik tuo atveju, jei pirkėjo pateiktas socialinių kortelių turėtojų sąrašas atitinka visus sutartyje jam nustatytus reikalavimus. Delspinigiai išskaičiuojami iš mokėtinos sumos.</w:t>
      </w:r>
    </w:p>
    <w:p>
      <w:pPr>
        <w:pStyle w:val="Normal"/>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23. Pardavėjas neatsako už nepanaudojimą socialinės kortelės pagal paskirtį, atsiradusią dėl laikinų techninių sutrikimų (pvz., socialinių kortelių aptarnavimo sistemos sutrikimas), kuriuos įsipareigoja pašalinti per protingą terminą. </w:t>
      </w:r>
    </w:p>
    <w:p>
      <w:pPr>
        <w:pStyle w:val="Normal"/>
        <w:spacing w:lineRule="auto" w:line="240" w:before="0" w:after="0"/>
        <w:ind w:firstLine="1134"/>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center"/>
        <w:rPr>
          <w:rFonts w:ascii="Times New Roman" w:hAnsi="Times New Roman" w:eastAsia="Times New Roman" w:cs="Times New Roman"/>
          <w:b/>
          <w:bCs/>
          <w:color w:val="000000"/>
          <w:sz w:val="24"/>
          <w:szCs w:val="24"/>
          <w:lang w:eastAsia="lt-LT"/>
        </w:rPr>
      </w:pPr>
      <w:r>
        <w:rPr>
          <w:rFonts w:eastAsia="Times New Roman" w:cs="Times New Roman" w:ascii="Times New Roman" w:hAnsi="Times New Roman"/>
          <w:b/>
          <w:sz w:val="24"/>
          <w:szCs w:val="24"/>
        </w:rPr>
        <w:t>VI.</w:t>
      </w:r>
      <w:r>
        <w:rPr>
          <w:rFonts w:eastAsia="Times New Roman" w:cs="Times New Roman" w:ascii="Times New Roman" w:hAnsi="Times New Roman"/>
          <w:b/>
          <w:bCs/>
          <w:color w:val="000000"/>
          <w:sz w:val="24"/>
          <w:szCs w:val="24"/>
          <w:lang w:eastAsia="lt-LT"/>
        </w:rPr>
        <w:t>NENUGALIMOS JĖGOS (FORCE  MAJEURE) APLINKYBĖS</w:t>
      </w:r>
    </w:p>
    <w:p>
      <w:pPr>
        <w:pStyle w:val="Normal"/>
        <w:spacing w:lineRule="auto" w:line="240" w:before="0" w:after="0"/>
        <w:jc w:val="center"/>
        <w:rPr>
          <w:rFonts w:ascii="Times New Roman" w:hAnsi="Times New Roman" w:eastAsia="Times New Roman" w:cs="Times New Roman"/>
          <w:bCs/>
          <w:color w:val="000000"/>
          <w:sz w:val="24"/>
          <w:szCs w:val="24"/>
          <w:lang w:eastAsia="lt-LT"/>
        </w:rPr>
      </w:pPr>
      <w:r>
        <w:rPr>
          <w:rFonts w:eastAsia="Times New Roman" w:cs="Times New Roman" w:ascii="Times New Roman" w:hAnsi="Times New Roman"/>
          <w:bCs/>
          <w:color w:val="000000"/>
          <w:sz w:val="24"/>
          <w:szCs w:val="24"/>
          <w:lang w:eastAsia="lt-LT"/>
        </w:rPr>
      </w:r>
    </w:p>
    <w:p>
      <w:pPr>
        <w:pStyle w:val="Normal"/>
        <w:tabs>
          <w:tab w:val="clear" w:pos="1296"/>
          <w:tab w:val="left" w:pos="748" w:leader="none"/>
        </w:tabs>
        <w:spacing w:lineRule="auto" w:line="240" w:before="0" w:after="0"/>
        <w:ind w:firstLine="1298"/>
        <w:jc w:val="both"/>
        <w:rPr>
          <w:rFonts w:ascii="Times New Roman" w:hAnsi="Times New Roman" w:cs="Times New Roman"/>
          <w:bCs/>
          <w:sz w:val="24"/>
          <w:szCs w:val="24"/>
        </w:rPr>
      </w:pPr>
      <w:r>
        <w:rPr>
          <w:rFonts w:eastAsia="Times New Roman" w:cs="Times New Roman" w:ascii="Times New Roman" w:hAnsi="Times New Roman"/>
          <w:sz w:val="24"/>
          <w:szCs w:val="24"/>
          <w:lang w:eastAsia="lt-LT"/>
        </w:rPr>
        <w:t>24</w:t>
      </w:r>
      <w:r>
        <w:rPr>
          <w:rFonts w:eastAsia="Times New Roman" w:cs="Times New Roman" w:ascii="Times New Roman" w:hAnsi="Times New Roman"/>
          <w:color w:val="000000"/>
          <w:sz w:val="24"/>
          <w:szCs w:val="24"/>
          <w:lang w:eastAsia="lt-LT"/>
        </w:rPr>
        <w:t xml:space="preserve">. </w:t>
      </w:r>
      <w:r>
        <w:rPr>
          <w:rFonts w:cs="Times New Roman" w:ascii="Times New Roman" w:hAnsi="Times New Roman"/>
          <w:bCs/>
          <w:sz w:val="24"/>
          <w:szCs w:val="24"/>
        </w:rPr>
        <w:t>Nenugalimos jėgos(</w:t>
      </w:r>
      <w:r>
        <w:rPr>
          <w:rFonts w:cs="Times New Roman" w:ascii="Times New Roman" w:hAnsi="Times New Roman"/>
          <w:bCs/>
          <w:i/>
          <w:sz w:val="24"/>
          <w:szCs w:val="24"/>
        </w:rPr>
        <w:t>Force majeure</w:t>
      </w:r>
      <w:r>
        <w:rPr>
          <w:rFonts w:cs="Times New Roman" w:ascii="Times New Roman" w:hAnsi="Times New Roman"/>
          <w:bCs/>
          <w:sz w:val="24"/>
          <w:szCs w:val="24"/>
        </w:rPr>
        <w:t>) aplinkybės suprantamos kaip tai nurodyta Lietuvos Respublikos Vyriausybės 1996 m. liepos 15 d. nutarimu Nr. 840 patvirtintose Atleidimo nuo atsakomybės esant nenumatytos jėgos (</w:t>
      </w:r>
      <w:r>
        <w:rPr>
          <w:rFonts w:cs="Times New Roman" w:ascii="Times New Roman" w:hAnsi="Times New Roman"/>
          <w:bCs/>
          <w:i/>
          <w:sz w:val="24"/>
          <w:szCs w:val="24"/>
        </w:rPr>
        <w:t>force majeure</w:t>
      </w:r>
      <w:r>
        <w:rPr>
          <w:rFonts w:cs="Times New Roman" w:ascii="Times New Roman" w:hAnsi="Times New Roman"/>
          <w:bCs/>
          <w:sz w:val="24"/>
          <w:szCs w:val="24"/>
        </w:rPr>
        <w:t xml:space="preserve">) aplinkybėms taisyklėse. </w:t>
      </w:r>
    </w:p>
    <w:p>
      <w:pPr>
        <w:pStyle w:val="Normal"/>
        <w:tabs>
          <w:tab w:val="clear" w:pos="1296"/>
          <w:tab w:val="left" w:pos="9072" w:leader="none"/>
        </w:tabs>
        <w:spacing w:lineRule="auto" w:line="240" w:before="0" w:after="0"/>
        <w:ind w:firstLine="1298"/>
        <w:jc w:val="both"/>
        <w:rPr>
          <w:rFonts w:ascii="Times New Roman" w:hAnsi="Times New Roman" w:cs="Times New Roman"/>
          <w:sz w:val="24"/>
          <w:szCs w:val="24"/>
        </w:rPr>
      </w:pPr>
      <w:r>
        <w:rPr>
          <w:rFonts w:cs="Times New Roman" w:ascii="Times New Roman" w:hAnsi="Times New Roman"/>
          <w:sz w:val="24"/>
          <w:szCs w:val="24"/>
        </w:rPr>
        <w:t xml:space="preserve">25. Jeigu </w:t>
      </w:r>
      <w:r>
        <w:rPr>
          <w:rFonts w:cs="Times New Roman" w:ascii="Times New Roman" w:hAnsi="Times New Roman"/>
          <w:bCs/>
          <w:sz w:val="24"/>
          <w:szCs w:val="24"/>
        </w:rPr>
        <w:t>nenugalimos jėgos(</w:t>
      </w:r>
      <w:r>
        <w:rPr>
          <w:rFonts w:cs="Times New Roman" w:ascii="Times New Roman" w:hAnsi="Times New Roman"/>
          <w:bCs/>
          <w:i/>
          <w:sz w:val="24"/>
          <w:szCs w:val="24"/>
        </w:rPr>
        <w:t>force majeure</w:t>
      </w:r>
      <w:r>
        <w:rPr>
          <w:rFonts w:cs="Times New Roman" w:ascii="Times New Roman" w:hAnsi="Times New Roman"/>
          <w:bCs/>
          <w:sz w:val="24"/>
          <w:szCs w:val="24"/>
        </w:rPr>
        <w:t xml:space="preserve">) </w:t>
      </w:r>
      <w:r>
        <w:rPr>
          <w:rFonts w:cs="Times New Roman" w:ascii="Times New Roman" w:hAnsi="Times New Roman"/>
          <w:sz w:val="24"/>
          <w:szCs w:val="24"/>
        </w:rPr>
        <w:t>aplinkybė, dėl kurios neįmanoma sutarties įvykdyti, laikina, tai šalys atleidžiamos nuo atsakomybės tik tokiam laikotarpiui, kuris numatomas atsižvelgiant į tos aplinkybės įtaką sutarties vykdymui.</w:t>
      </w:r>
    </w:p>
    <w:p>
      <w:pPr>
        <w:pStyle w:val="Normal"/>
        <w:tabs>
          <w:tab w:val="clear" w:pos="1296"/>
          <w:tab w:val="left" w:pos="9072" w:leader="none"/>
        </w:tabs>
        <w:spacing w:lineRule="auto" w:line="240" w:before="0" w:after="0"/>
        <w:ind w:firstLine="1298"/>
        <w:jc w:val="both"/>
        <w:rPr>
          <w:rFonts w:ascii="Times New Roman" w:hAnsi="Times New Roman" w:cs="Times New Roman"/>
          <w:sz w:val="24"/>
          <w:szCs w:val="24"/>
        </w:rPr>
      </w:pPr>
      <w:r>
        <w:rPr>
          <w:rFonts w:cs="Times New Roman" w:ascii="Times New Roman" w:hAnsi="Times New Roman"/>
          <w:sz w:val="24"/>
          <w:szCs w:val="24"/>
        </w:rPr>
        <w:t xml:space="preserve">26. Sutarties neįvykdžiusi šalis privalo pranešti raštu nedelsiant, bet ne vėliau kaip per tris darbo dienas kitai šaliai apie </w:t>
      </w:r>
      <w:r>
        <w:rPr>
          <w:rFonts w:cs="Times New Roman" w:ascii="Times New Roman" w:hAnsi="Times New Roman"/>
          <w:bCs/>
          <w:sz w:val="24"/>
          <w:szCs w:val="24"/>
        </w:rPr>
        <w:t>nenugalimos jėgos</w:t>
      </w:r>
      <w:r>
        <w:rPr>
          <w:rFonts w:cs="Times New Roman" w:ascii="Times New Roman" w:hAnsi="Times New Roman"/>
          <w:sz w:val="24"/>
          <w:szCs w:val="24"/>
        </w:rPr>
        <w:t>aplinkybių (</w:t>
      </w:r>
      <w:r>
        <w:rPr>
          <w:rFonts w:cs="Times New Roman" w:ascii="Times New Roman" w:hAnsi="Times New Roman"/>
          <w:i/>
          <w:iCs/>
          <w:sz w:val="24"/>
          <w:szCs w:val="24"/>
        </w:rPr>
        <w:t>force majeure</w:t>
      </w:r>
      <w:r>
        <w:rPr>
          <w:rFonts w:cs="Times New Roman" w:ascii="Times New Roman" w:hAnsi="Times New Roman"/>
          <w:sz w:val="24"/>
          <w:szCs w:val="24"/>
        </w:rPr>
        <w:t xml:space="preserve">) atsiradimą bei jų įtaką sutarties įvykdymui. </w:t>
      </w:r>
    </w:p>
    <w:p>
      <w:pPr>
        <w:pStyle w:val="Normal"/>
        <w:tabs>
          <w:tab w:val="clear" w:pos="1296"/>
          <w:tab w:val="left" w:pos="9072" w:leader="none"/>
        </w:tabs>
        <w:spacing w:lineRule="auto" w:line="240" w:before="0" w:after="0"/>
        <w:ind w:firstLine="1298"/>
        <w:jc w:val="both"/>
        <w:rPr>
          <w:rFonts w:ascii="Times New Roman" w:hAnsi="Times New Roman" w:cs="Times New Roman"/>
          <w:sz w:val="24"/>
          <w:szCs w:val="24"/>
        </w:rPr>
      </w:pPr>
      <w:r>
        <w:rPr>
          <w:rFonts w:cs="Times New Roman" w:ascii="Times New Roman" w:hAnsi="Times New Roman"/>
          <w:sz w:val="24"/>
          <w:szCs w:val="24"/>
        </w:rPr>
        <w:t xml:space="preserve">27. Jeigu pranešimas negaunamas nustatytu laiku po to, kai sutarties neįvykdžiusi  šalis sužinojo ar turėjo sužinoti apie tą </w:t>
      </w:r>
      <w:r>
        <w:rPr>
          <w:rFonts w:cs="Times New Roman" w:ascii="Times New Roman" w:hAnsi="Times New Roman"/>
          <w:bCs/>
          <w:sz w:val="24"/>
          <w:szCs w:val="24"/>
        </w:rPr>
        <w:t>nenugalimos jėgos</w:t>
      </w:r>
      <w:r>
        <w:rPr>
          <w:rFonts w:cs="Times New Roman" w:ascii="Times New Roman" w:hAnsi="Times New Roman"/>
          <w:sz w:val="24"/>
          <w:szCs w:val="24"/>
        </w:rPr>
        <w:t>aplinkybę, tai pastaroji šalis privalo atlyginti dėl pranešimo negavimo atsiradusius nuostolius.</w:t>
      </w:r>
    </w:p>
    <w:p>
      <w:pPr>
        <w:pStyle w:val="Normal"/>
        <w:widowControl w:val="false"/>
        <w:jc w:val="both"/>
        <w:rPr>
          <w:rFonts w:ascii="Times New Roman" w:hAnsi="Times New Roman" w:cs="Times New Roman"/>
          <w:sz w:val="24"/>
          <w:szCs w:val="24"/>
        </w:rPr>
      </w:pPr>
      <w:r>
        <w:rPr>
          <w:rFonts w:cs="Times New Roman" w:ascii="Times New Roman" w:hAnsi="Times New Roman"/>
          <w:sz w:val="24"/>
          <w:szCs w:val="24"/>
        </w:rPr>
      </w:r>
    </w:p>
    <w:p>
      <w:pPr>
        <w:pStyle w:val="Normal"/>
        <w:keepNext w:val="true"/>
        <w:numPr>
          <w:ilvl w:val="0"/>
          <w:numId w:val="0"/>
        </w:numPr>
        <w:tabs>
          <w:tab w:val="left" w:pos="1296" w:leader="none"/>
        </w:tabs>
        <w:spacing w:lineRule="auto" w:line="240" w:before="0" w:after="0"/>
        <w:ind w:hanging="0" w:left="0"/>
        <w:jc w:val="center"/>
        <w:outlineLvl w:val="0"/>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rPr>
        <w:t>VII. SUTARTIES GALIOJIMAS IR NUTRAUKIMAS</w:t>
      </w:r>
    </w:p>
    <w:p>
      <w:pPr>
        <w:pStyle w:val="Normal"/>
        <w:keepNext w:val="true"/>
        <w:numPr>
          <w:ilvl w:val="0"/>
          <w:numId w:val="0"/>
        </w:numPr>
        <w:tabs>
          <w:tab w:val="left" w:pos="1296" w:leader="none"/>
        </w:tabs>
        <w:spacing w:lineRule="auto" w:line="240" w:before="0" w:after="0"/>
        <w:ind w:hanging="0" w:left="0"/>
        <w:outlineLvl w:val="0"/>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rPr>
      </w:r>
    </w:p>
    <w:p>
      <w:pPr>
        <w:pStyle w:val="Normal"/>
        <w:tabs>
          <w:tab w:val="clear" w:pos="1296"/>
          <w:tab w:val="left" w:pos="720" w:leader="none"/>
        </w:tabs>
        <w:spacing w:lineRule="auto" w:line="240" w:before="0" w:after="0"/>
        <w:ind w:firstLine="1298"/>
        <w:jc w:val="both"/>
        <w:rPr>
          <w:rFonts w:ascii="Times New Roman" w:hAnsi="Times New Roman" w:cs="Times New Roman"/>
          <w:sz w:val="24"/>
          <w:szCs w:val="24"/>
        </w:rPr>
      </w:pPr>
      <w:r>
        <w:rPr>
          <w:rFonts w:eastAsia="Times New Roman" w:cs="Times New Roman" w:ascii="Times New Roman" w:hAnsi="Times New Roman"/>
          <w:sz w:val="24"/>
          <w:szCs w:val="24"/>
        </w:rPr>
        <w:t xml:space="preserve">28. </w:t>
      </w:r>
      <w:r>
        <w:rPr>
          <w:rFonts w:cs="Times New Roman" w:ascii="Times New Roman" w:hAnsi="Times New Roman"/>
          <w:sz w:val="24"/>
          <w:szCs w:val="24"/>
        </w:rPr>
        <w:t xml:space="preserve">Sutartis galioja 36 mėn. nuo sutarties pasirašymo dienos arba kol bus pasiekta sutarties punkte numatyta maksimali sutarties suma, atsižvelgiant į tai, kas įvyks anksčiau. </w:t>
      </w:r>
    </w:p>
    <w:p>
      <w:pPr>
        <w:pStyle w:val="NoSpacing"/>
        <w:ind w:firstLine="1298"/>
        <w:jc w:val="both"/>
        <w:rPr>
          <w:rFonts w:ascii="Times New Roman" w:hAnsi="Times New Roman"/>
          <w:sz w:val="24"/>
          <w:szCs w:val="24"/>
        </w:rPr>
      </w:pPr>
      <w:r>
        <w:rPr>
          <w:rFonts w:eastAsia="Times New Roman" w:ascii="Times New Roman" w:hAnsi="Times New Roman"/>
          <w:sz w:val="24"/>
          <w:szCs w:val="24"/>
        </w:rPr>
        <w:t xml:space="preserve">29. </w:t>
      </w:r>
      <w:r>
        <w:rPr>
          <w:rFonts w:ascii="Times New Roman" w:hAnsi="Times New Roman"/>
          <w:sz w:val="24"/>
          <w:szCs w:val="24"/>
        </w:rPr>
        <w:t>Sutartis gali būti nutraukta šalių susitarimu arba vienos šalies iniciatyva tik sutartyje ar Lietuvos Respublikos civiliniame kodekse numatytais atvejais.</w:t>
      </w:r>
    </w:p>
    <w:p>
      <w:pPr>
        <w:pStyle w:val="NoSpacing"/>
        <w:ind w:firstLine="1298"/>
        <w:jc w:val="both"/>
        <w:rPr>
          <w:rFonts w:ascii="Times New Roman" w:hAnsi="Times New Roman"/>
          <w:sz w:val="24"/>
          <w:szCs w:val="24"/>
        </w:rPr>
      </w:pPr>
      <w:r>
        <w:rPr>
          <w:rFonts w:ascii="Times New Roman" w:hAnsi="Times New Roman"/>
          <w:sz w:val="24"/>
          <w:szCs w:val="24"/>
        </w:rPr>
        <w:t xml:space="preserve">30. Šalis turi teisę vienašališkai nutraukti sutartį, jeigu kita šalis ją iš esmės pažeidė. Apie sutarties nutraukimą turi būti pranešta raštu ne vėliau kaip prieš 15 darbo dienų. </w:t>
      </w:r>
    </w:p>
    <w:p>
      <w:pPr>
        <w:pStyle w:val="NoSpacing"/>
        <w:ind w:firstLine="1298"/>
        <w:jc w:val="both"/>
        <w:rPr>
          <w:rFonts w:ascii="Times New Roman" w:hAnsi="Times New Roman"/>
          <w:sz w:val="24"/>
          <w:szCs w:val="24"/>
        </w:rPr>
      </w:pPr>
      <w:r>
        <w:rPr>
          <w:rFonts w:ascii="Times New Roman" w:hAnsi="Times New Roman"/>
          <w:sz w:val="24"/>
          <w:szCs w:val="24"/>
        </w:rPr>
        <w:t>31. Pardavėjo padarytas sutarties pažeidimas laikomas esminiu, jeigu:</w:t>
      </w:r>
    </w:p>
    <w:p>
      <w:pPr>
        <w:pStyle w:val="NoSpacing"/>
        <w:ind w:firstLine="1298"/>
        <w:jc w:val="both"/>
        <w:rPr>
          <w:rFonts w:ascii="Times New Roman" w:hAnsi="Times New Roman"/>
          <w:sz w:val="24"/>
          <w:szCs w:val="24"/>
        </w:rPr>
      </w:pPr>
      <w:r>
        <w:rPr>
          <w:rFonts w:ascii="Times New Roman" w:hAnsi="Times New Roman"/>
          <w:sz w:val="24"/>
          <w:szCs w:val="24"/>
        </w:rPr>
        <w:t>31.1. suteiktos paslaugos neatitinka bent vieno iš sutartyje nurodytų reikalavimų ir neatitikimų neįmanoma per pirkėjui priimtiną terminą pašalinti;</w:t>
      </w:r>
    </w:p>
    <w:p>
      <w:pPr>
        <w:pStyle w:val="NoSpacing"/>
        <w:ind w:firstLine="1298"/>
        <w:jc w:val="both"/>
        <w:rPr>
          <w:rFonts w:ascii="Times New Roman" w:hAnsi="Times New Roman"/>
          <w:sz w:val="24"/>
          <w:szCs w:val="24"/>
        </w:rPr>
      </w:pPr>
      <w:r>
        <w:rPr>
          <w:rFonts w:ascii="Times New Roman" w:hAnsi="Times New Roman"/>
          <w:sz w:val="24"/>
          <w:szCs w:val="24"/>
        </w:rPr>
        <w:t>31.2. pardavėjas daugiau kaip 10 darbo dienų pažeidė sutartyje numatytą paslaugų teikimo terminą.</w:t>
      </w:r>
    </w:p>
    <w:p>
      <w:pPr>
        <w:pStyle w:val="NoSpacing"/>
        <w:ind w:firstLine="1298"/>
        <w:jc w:val="both"/>
        <w:rPr>
          <w:rFonts w:ascii="Times New Roman" w:hAnsi="Times New Roman"/>
          <w:sz w:val="24"/>
          <w:szCs w:val="24"/>
        </w:rPr>
      </w:pPr>
      <w:r>
        <w:rPr>
          <w:rFonts w:ascii="Times New Roman" w:hAnsi="Times New Roman"/>
          <w:sz w:val="24"/>
          <w:szCs w:val="24"/>
        </w:rPr>
        <w:t>32. Pirkėjo padarytas sutarties pažeidimas laikomas esminiu, jeigu pirkėjas daugiau kaip 20 kalendorinių dienų pažeidė sutartyje numatytą apmokėjimo už paslaugas terminą, kai tiekėjas tinkamai įvykdė savo pareigas.</w:t>
      </w:r>
    </w:p>
    <w:p>
      <w:pPr>
        <w:pStyle w:val="NoSpacing"/>
        <w:ind w:firstLine="1298"/>
        <w:jc w:val="both"/>
        <w:rPr>
          <w:rFonts w:ascii="Times New Roman" w:hAnsi="Times New Roman"/>
          <w:sz w:val="24"/>
          <w:szCs w:val="24"/>
        </w:rPr>
      </w:pPr>
      <w:r>
        <w:rPr>
          <w:rFonts w:ascii="Times New Roman" w:hAnsi="Times New Roman"/>
          <w:sz w:val="24"/>
          <w:szCs w:val="24"/>
        </w:rPr>
        <w:t>33. Jeigu kuri nors sutarties nuostata bus pripažinta negaliojančia teismine tvarka, ji bus netaikoma ir bus laikoma neįtraukta į sutartį, tačiau tai neturės jokios įtakos bei nepakenks kitų sutarties nuostatų galiojimui, teisėtumui ar privalomumui.</w:t>
      </w:r>
    </w:p>
    <w:p>
      <w:pPr>
        <w:pStyle w:val="Normal"/>
        <w:tabs>
          <w:tab w:val="clear" w:pos="1296"/>
          <w:tab w:val="left" w:pos="720" w:leader="none"/>
        </w:tabs>
        <w:spacing w:lineRule="auto" w:line="240" w:before="0" w:after="0"/>
        <w:ind w:firstLine="1298"/>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keepNext w:val="true"/>
        <w:numPr>
          <w:ilvl w:val="0"/>
          <w:numId w:val="0"/>
        </w:numPr>
        <w:tabs>
          <w:tab w:val="left" w:pos="1296" w:leader="none"/>
        </w:tabs>
        <w:spacing w:lineRule="auto" w:line="240" w:before="0" w:after="0"/>
        <w:ind w:hanging="0" w:left="360"/>
        <w:jc w:val="center"/>
        <w:outlineLvl w:val="0"/>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rPr>
        <w:t>VIII. KONFIDENCIALUMAS</w:t>
      </w:r>
    </w:p>
    <w:p>
      <w:pPr>
        <w:pStyle w:val="Normal"/>
        <w:tabs>
          <w:tab w:val="clear" w:pos="1296"/>
          <w:tab w:val="left" w:pos="1077" w:leader="none"/>
        </w:tabs>
        <w:spacing w:lineRule="auto" w:line="240" w:before="0" w:after="0"/>
        <w:ind w:hanging="360" w:left="360"/>
        <w:jc w:val="both"/>
        <w:rPr>
          <w:rFonts w:ascii="Times New Roman" w:hAnsi="Times New Roman" w:eastAsia="Times New Roman" w:cs="Times New Roman"/>
          <w:bCs/>
          <w:sz w:val="24"/>
          <w:szCs w:val="24"/>
        </w:rPr>
      </w:pPr>
      <w:r>
        <w:rPr>
          <w:rFonts w:eastAsia="Times New Roman" w:cs="Times New Roman" w:ascii="Times New Roman" w:hAnsi="Times New Roman"/>
          <w:bCs/>
          <w:sz w:val="24"/>
          <w:szCs w:val="24"/>
        </w:rPr>
      </w:r>
    </w:p>
    <w:p>
      <w:pPr>
        <w:pStyle w:val="Normal"/>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34. Šalys įsipareigoja saugoti visą informaciją, gautą vykdant šią sutartį ar dėl šios sutarties, ir laikyti ją konfidencialia. Už konfidencialios informacijos atskleidimą sutarties šalys atsako pagal įstatymus, išskyrus privalomo informacijos atskleidimo atvejus, numatytus pagal Lietuvos Respublikos įstatymus. Konfidencialios informacijos atskleidimas bet kuriai trečiajai šaliai galimas turint išankstinį raštišką kitos šalies sutikimą.</w:t>
      </w:r>
    </w:p>
    <w:p>
      <w:pPr>
        <w:pStyle w:val="Normal"/>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center"/>
        <w:rPr>
          <w:rFonts w:ascii="Times New Roman" w:hAnsi="Times New Roman" w:eastAsia="Times New Roman" w:cs="Times New Roman"/>
          <w:b/>
          <w:sz w:val="24"/>
          <w:szCs w:val="24"/>
        </w:rPr>
      </w:pPr>
      <w:r>
        <w:rPr>
          <w:rFonts w:eastAsia="Times New Roman" w:cs="Times New Roman" w:ascii="Times New Roman" w:hAnsi="Times New Roman"/>
          <w:b/>
          <w:sz w:val="24"/>
          <w:szCs w:val="24"/>
        </w:rPr>
        <w:t>IX. SUTARTIES PAKEITIMAI</w:t>
      </w:r>
    </w:p>
    <w:p>
      <w:pPr>
        <w:pStyle w:val="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Spacing"/>
        <w:ind w:firstLine="1298"/>
        <w:jc w:val="both"/>
        <w:rPr>
          <w:rFonts w:ascii="Times New Roman" w:hAnsi="Times New Roman"/>
          <w:sz w:val="24"/>
          <w:szCs w:val="24"/>
        </w:rPr>
      </w:pPr>
      <w:r>
        <w:rPr>
          <w:rFonts w:eastAsia="Times New Roman" w:ascii="Times New Roman" w:hAnsi="Times New Roman"/>
          <w:color w:val="000000"/>
          <w:sz w:val="24"/>
          <w:szCs w:val="24"/>
          <w:lang w:eastAsia="lt-LT"/>
        </w:rPr>
        <w:t xml:space="preserve">35. </w:t>
      </w:r>
      <w:r>
        <w:rPr>
          <w:rFonts w:ascii="Times New Roman" w:hAnsi="Times New Roman"/>
          <w:spacing w:val="-2"/>
          <w:sz w:val="24"/>
          <w:szCs w:val="24"/>
        </w:rPr>
        <w:t>Sutarties sąlygos sutarties galiojimo laikotarpiu gali būti keičiamos, vadovaujantis Lietuvos Respublikos viešųjų pirkimų įstatymo 89</w:t>
      </w:r>
      <w:r>
        <w:rPr>
          <w:rFonts w:ascii="Times New Roman" w:hAnsi="Times New Roman"/>
          <w:color w:val="FF0000"/>
          <w:spacing w:val="-2"/>
          <w:sz w:val="24"/>
          <w:szCs w:val="24"/>
        </w:rPr>
        <w:t xml:space="preserve"> </w:t>
      </w:r>
      <w:r>
        <w:rPr>
          <w:rFonts w:ascii="Times New Roman" w:hAnsi="Times New Roman"/>
          <w:spacing w:val="-2"/>
          <w:sz w:val="24"/>
          <w:szCs w:val="24"/>
        </w:rPr>
        <w:t xml:space="preserve">straipsnio nuostatomis. Sutarties sąlygos keičiamos, raštu gavus informaciją apie pakeistą kitos šalies atsiskaitomąją sąskaitą banke, sudarant papildomą rašytinį susitarimą, kuris yra neatsiejama sutarties dalis. Visi sutarties pakeitimai galioja tik tada, kai jie sudaryti raštu ir pasirašyti abiejų šalių įgaliotų atstovų originaliais parašais – tokie sutarties pakeitimai įsigalioja nuo abiejų šalių pasirašymo momento, jei juose nėra nurodyta kitaip. </w:t>
      </w:r>
    </w:p>
    <w:p>
      <w:pPr>
        <w:pStyle w:val="NoSpacing"/>
        <w:ind w:firstLine="1298"/>
        <w:jc w:val="both"/>
        <w:rPr>
          <w:rFonts w:ascii="Times New Roman" w:hAnsi="Times New Roman"/>
          <w:color w:val="000000"/>
          <w:sz w:val="24"/>
          <w:szCs w:val="24"/>
        </w:rPr>
      </w:pPr>
      <w:r>
        <w:rPr>
          <w:rFonts w:ascii="Times New Roman" w:hAnsi="Times New Roman"/>
          <w:color w:val="000000"/>
          <w:sz w:val="24"/>
          <w:szCs w:val="24"/>
        </w:rPr>
        <w:t>36.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pirkėjas. Šalims tarpusavyje susitarus dėl sutarties sąlygų keitimo, šie keitimai įforminami susitarimu, kuris yra sutarties neatskiriama dalis.</w:t>
      </w:r>
    </w:p>
    <w:p>
      <w:pPr>
        <w:pStyle w:val="Normal"/>
        <w:spacing w:lineRule="auto" w:line="240" w:before="0" w:after="0"/>
        <w:ind w:firstLine="1298"/>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spacing w:lineRule="auto" w:line="240" w:before="0" w:after="0"/>
        <w:ind w:firstLine="1298"/>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t>X. SUBTIEKĖJAI (SUBTEIKĖJAI). JŲ KEITIMO TVARKA</w:t>
      </w:r>
    </w:p>
    <w:p>
      <w:pPr>
        <w:pStyle w:val="Normal"/>
        <w:widowControl w:val="false"/>
        <w:suppressAutoHyphens w:val="true"/>
        <w:overflowPunct w:val="true"/>
        <w:spacing w:lineRule="auto" w:line="240" w:before="0" w:after="0"/>
        <w:ind w:firstLine="1298"/>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Spacing"/>
        <w:ind w:firstLine="1298"/>
        <w:jc w:val="both"/>
        <w:rPr>
          <w:rFonts w:ascii="Times New Roman" w:hAnsi="Times New Roman"/>
          <w:sz w:val="24"/>
          <w:szCs w:val="24"/>
        </w:rPr>
      </w:pPr>
      <w:r>
        <w:rPr>
          <w:rFonts w:ascii="Times New Roman" w:hAnsi="Times New Roman"/>
          <w:sz w:val="24"/>
          <w:szCs w:val="24"/>
        </w:rPr>
        <w:t>37. Sutarčiai vykdyti pasitelkiami šie subtiekėjai (subteikėjai): ...</w:t>
      </w:r>
    </w:p>
    <w:p>
      <w:pPr>
        <w:pStyle w:val="NoSpacing"/>
        <w:ind w:firstLine="1298"/>
        <w:jc w:val="both"/>
        <w:rPr>
          <w:rFonts w:ascii="Times New Roman" w:hAnsi="Times New Roman"/>
          <w:sz w:val="24"/>
          <w:szCs w:val="24"/>
        </w:rPr>
      </w:pPr>
      <w:r>
        <w:rPr>
          <w:rFonts w:ascii="Times New Roman" w:hAnsi="Times New Roman"/>
          <w:sz w:val="24"/>
          <w:szCs w:val="24"/>
        </w:rPr>
        <w:t>38. Sutarties vykdymo metu vykdytojas gali pakeisti ar pasitelkti papildomus subtiekėjus, pateikdamas užsakovo atstovui, atsakingam už sutarties vykdymą, pagrįstą prašymą, pridedant jį pagrindžiančius dokumentus. Gavęs tokį pranešimą ir įvertinęs vykdytojo siūlymą, užsakovas, jei sutinka, kartu su vykdytoju įformina susitarimą dėl subtiekėjo pakeitimo/pasitelkimo.</w:t>
      </w:r>
    </w:p>
    <w:p>
      <w:pPr>
        <w:pStyle w:val="NoSpacing"/>
        <w:ind w:firstLine="1298"/>
        <w:jc w:val="both"/>
        <w:rPr>
          <w:rFonts w:ascii="Times New Roman" w:hAnsi="Times New Roman"/>
          <w:sz w:val="24"/>
          <w:szCs w:val="24"/>
        </w:rPr>
      </w:pPr>
      <w:r>
        <w:rPr>
          <w:rFonts w:ascii="Times New Roman" w:hAnsi="Times New Roman"/>
          <w:sz w:val="24"/>
          <w:szCs w:val="24"/>
        </w:rPr>
        <w:t>39. Jei sutartyje keičiami subtiekėjai, kurių pajėgumais kvalifikacijai pagrįsti rėmėsi vykdytojas, kartu su informacija apie naujus subtiekėjus turi būti pateikti naujo subtiekėjo pašalinimo pagrindų nebuvimą ir atitiktį kvalifikaciniams reikalavimams patvirtinantys dokumentai. Anksčiau minėti dokumentai pateikiami tai dienai, kai vykdytojas kreipiasi į užsakovą su prašymu pakeisti subtiekėjus. Vykdytojas reikalauja, kad naujo subtiekėjo kvalifikacija būtų ne žemesnė nei buvo reikalaujama pirkimo dokumentuose.</w:t>
      </w:r>
    </w:p>
    <w:p>
      <w:pPr>
        <w:pStyle w:val="NoSpacing"/>
        <w:ind w:firstLine="1298"/>
        <w:jc w:val="both"/>
        <w:rPr>
          <w:rFonts w:ascii="Times New Roman" w:hAnsi="Times New Roman"/>
          <w:sz w:val="24"/>
          <w:szCs w:val="24"/>
        </w:rPr>
      </w:pPr>
      <w:r>
        <w:rPr>
          <w:rFonts w:ascii="Times New Roman" w:hAnsi="Times New Roman"/>
          <w:sz w:val="24"/>
          <w:szCs w:val="24"/>
        </w:rPr>
        <w:t>40. Tais atvejais, kai kvalifikacijai pagrįsti vykdytojas nesiremia subtiekėjų pajėgumais, pirkėjas netikrina šių subtiekėjų pašalinimo pagrindų.</w:t>
      </w:r>
    </w:p>
    <w:p>
      <w:pPr>
        <w:pStyle w:val="NoSpacing"/>
        <w:ind w:firstLine="1298"/>
        <w:jc w:val="both"/>
        <w:rPr>
          <w:rFonts w:ascii="Times New Roman" w:hAnsi="Times New Roman"/>
          <w:sz w:val="24"/>
          <w:szCs w:val="24"/>
        </w:rPr>
      </w:pPr>
      <w:r>
        <w:rPr>
          <w:rFonts w:ascii="Times New Roman" w:hAnsi="Times New Roman"/>
          <w:sz w:val="24"/>
          <w:szCs w:val="24"/>
        </w:rPr>
        <w:t>41. Subtiekėjų (subteikėjų) pasitelkimas nekeičia vykdytojo atsakomybės dėl tinkamo sutarties įvykdymo. Vykdytojas prisiima atsakomybę už subtiekėjų (subteikėjų) veiklą vykdant sutartį ir atsako už sutartinių prievolių neįvykdymą ar netinkamą vykdymą.</w:t>
      </w:r>
    </w:p>
    <w:p>
      <w:pPr>
        <w:pStyle w:val="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center"/>
        <w:rPr>
          <w:rFonts w:ascii="Times New Roman" w:hAnsi="Times New Roman" w:eastAsia="Times New Roman" w:cs="Times New Roman"/>
          <w:b/>
          <w:bCs/>
          <w:color w:val="000000"/>
          <w:spacing w:val="-3"/>
          <w:sz w:val="24"/>
          <w:szCs w:val="24"/>
          <w:lang w:eastAsia="lt-LT"/>
        </w:rPr>
      </w:pPr>
      <w:r>
        <w:rPr>
          <w:rFonts w:eastAsia="Times New Roman" w:cs="Times New Roman" w:ascii="Times New Roman" w:hAnsi="Times New Roman"/>
          <w:b/>
          <w:bCs/>
          <w:color w:val="000000"/>
          <w:spacing w:val="-17"/>
          <w:sz w:val="24"/>
          <w:szCs w:val="24"/>
          <w:lang w:eastAsia="lt-LT"/>
        </w:rPr>
        <w:t xml:space="preserve">XI. </w:t>
      </w:r>
      <w:r>
        <w:rPr>
          <w:rFonts w:eastAsia="Times New Roman" w:cs="Times New Roman" w:ascii="Times New Roman" w:hAnsi="Times New Roman"/>
          <w:b/>
          <w:bCs/>
          <w:color w:val="000000"/>
          <w:spacing w:val="-3"/>
          <w:sz w:val="24"/>
          <w:szCs w:val="24"/>
          <w:lang w:eastAsia="lt-LT"/>
        </w:rPr>
        <w:t>GINČŲ NAGRINĖJIMO TVARKA</w:t>
      </w:r>
    </w:p>
    <w:p>
      <w:pPr>
        <w:pStyle w:val="Normal"/>
        <w:spacing w:lineRule="auto" w:line="240" w:before="0" w:after="0"/>
        <w:jc w:val="center"/>
        <w:rPr>
          <w:rFonts w:ascii="Times New Roman" w:hAnsi="Times New Roman" w:eastAsia="Times New Roman" w:cs="Times New Roman"/>
          <w:color w:val="000000"/>
          <w:sz w:val="24"/>
          <w:szCs w:val="24"/>
          <w:lang w:eastAsia="lt-LT"/>
        </w:rPr>
      </w:pPr>
      <w:r>
        <w:rPr>
          <w:rFonts w:eastAsia="Times New Roman" w:cs="Times New Roman" w:ascii="Times New Roman" w:hAnsi="Times New Roman"/>
          <w:color w:val="000000"/>
          <w:sz w:val="24"/>
          <w:szCs w:val="24"/>
          <w:lang w:eastAsia="lt-LT"/>
        </w:rPr>
      </w:r>
    </w:p>
    <w:p>
      <w:pPr>
        <w:pStyle w:val="Normal"/>
        <w:tabs>
          <w:tab w:val="clear" w:pos="1296"/>
          <w:tab w:val="left" w:pos="748" w:leader="none"/>
        </w:tabs>
        <w:suppressAutoHyphens w:val="true"/>
        <w:spacing w:lineRule="auto" w:line="240" w:before="0" w:after="0"/>
        <w:ind w:firstLine="1298"/>
        <w:jc w:val="both"/>
        <w:textAlignment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42. Šiai sutarčiai ir visoms iš šios sutarties atsirandančioms teisėms ir pareigoms taikomi Lietuvos Respublikos įstatymai bei kiti teisės aktai. Sutartis sudaryta ir turi būti aiškinama pagal Lietuvos Respublikos teisę.</w:t>
      </w:r>
    </w:p>
    <w:p>
      <w:pPr>
        <w:pStyle w:val="Normal"/>
        <w:suppressAutoHyphens w:val="true"/>
        <w:spacing w:lineRule="auto" w:line="240" w:before="0" w:after="0"/>
        <w:ind w:firstLine="1298"/>
        <w:jc w:val="both"/>
        <w:textAlignment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43.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pPr>
        <w:pStyle w:val="Normal"/>
        <w:spacing w:lineRule="auto" w:line="240" w:before="0" w:after="0"/>
        <w:ind w:firstLine="1298"/>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rmal"/>
        <w:keepNext w:val="true"/>
        <w:numPr>
          <w:ilvl w:val="0"/>
          <w:numId w:val="0"/>
        </w:numPr>
        <w:tabs>
          <w:tab w:val="left" w:pos="1296" w:leader="none"/>
        </w:tabs>
        <w:spacing w:lineRule="auto" w:line="240" w:before="0" w:after="0"/>
        <w:ind w:hanging="0" w:left="0"/>
        <w:jc w:val="center"/>
        <w:outlineLvl w:val="0"/>
        <w:rPr>
          <w:rFonts w:ascii="Times New Roman" w:hAnsi="Times New Roman" w:eastAsia="Times New Roman" w:cs="Times New Roman"/>
          <w:b/>
          <w:bCs/>
          <w:sz w:val="24"/>
          <w:szCs w:val="24"/>
        </w:rPr>
      </w:pPr>
      <w:r>
        <w:rPr>
          <w:rFonts w:eastAsia="Times New Roman" w:cs="Times New Roman" w:ascii="Times New Roman" w:hAnsi="Times New Roman"/>
          <w:b/>
          <w:bCs/>
          <w:sz w:val="24"/>
          <w:szCs w:val="24"/>
        </w:rPr>
        <w:t>XII. BAIGIAMOSIOS NUOSTATOS</w:t>
      </w:r>
    </w:p>
    <w:p>
      <w:pPr>
        <w:pStyle w:val="Normal"/>
        <w:spacing w:lineRule="auto" w:line="240" w:before="0" w:after="0"/>
        <w:ind w:firstLine="1134"/>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NoSpacing"/>
        <w:ind w:firstLine="1298"/>
        <w:jc w:val="both"/>
        <w:rPr>
          <w:rFonts w:ascii="Times New Roman" w:hAnsi="Times New Roman"/>
          <w:sz w:val="24"/>
          <w:szCs w:val="24"/>
        </w:rPr>
      </w:pPr>
      <w:r>
        <w:rPr>
          <w:rFonts w:eastAsia="Times New Roman" w:ascii="Times New Roman" w:hAnsi="Times New Roman"/>
          <w:sz w:val="24"/>
          <w:szCs w:val="24"/>
        </w:rPr>
        <w:t xml:space="preserve">44 </w:t>
      </w:r>
      <w:r>
        <w:rPr>
          <w:rFonts w:ascii="Times New Roman" w:hAnsi="Times New Roman"/>
          <w:sz w:val="24"/>
          <w:szCs w:val="24"/>
        </w:rPr>
        <w:t>.Nė viena šalis neturi teisės perleisti visų arba dalies teisių ir pareigų pagal šią sutartį jokiai trečiajai šaliai be išankstinio raštiško kitos šalies sutikimo.</w:t>
      </w:r>
    </w:p>
    <w:p>
      <w:pPr>
        <w:pStyle w:val="NoSpacing"/>
        <w:ind w:firstLine="1298"/>
        <w:jc w:val="both"/>
        <w:rPr>
          <w:rFonts w:ascii="Times New Roman" w:hAnsi="Times New Roman"/>
          <w:sz w:val="24"/>
          <w:szCs w:val="24"/>
        </w:rPr>
      </w:pPr>
      <w:r>
        <w:rPr>
          <w:rFonts w:ascii="Times New Roman" w:hAnsi="Times New Roman"/>
          <w:sz w:val="24"/>
          <w:szCs w:val="24"/>
        </w:rPr>
        <w:t>45.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pPr>
        <w:pStyle w:val="NoSpacing"/>
        <w:ind w:firstLine="1298"/>
        <w:jc w:val="both"/>
        <w:rPr>
          <w:rFonts w:ascii="Times New Roman" w:hAnsi="Times New Roman"/>
          <w:sz w:val="24"/>
          <w:szCs w:val="24"/>
        </w:rPr>
      </w:pPr>
      <w:r>
        <w:rPr>
          <w:rFonts w:ascii="Times New Roman" w:hAnsi="Times New Roman"/>
          <w:sz w:val="24"/>
          <w:szCs w:val="24"/>
        </w:rPr>
        <w:t>46. Visus kitus klausimus, kurie neaptarti sutartyje, reguliuoja Lietuvos Respublikos teisės aktai.</w:t>
      </w:r>
    </w:p>
    <w:p>
      <w:pPr>
        <w:pStyle w:val="NoSpacing"/>
        <w:ind w:firstLine="1298"/>
        <w:jc w:val="both"/>
        <w:rPr>
          <w:rFonts w:ascii="Times New Roman" w:hAnsi="Times New Roman"/>
          <w:sz w:val="24"/>
          <w:szCs w:val="24"/>
        </w:rPr>
      </w:pPr>
      <w:r>
        <w:rPr>
          <w:rFonts w:ascii="Times New Roman" w:hAnsi="Times New Roman"/>
          <w:sz w:val="24"/>
          <w:szCs w:val="24"/>
        </w:rPr>
        <w:t>47. Sutartis yra sutarties šalių perskaityta, jų suprasta ir jos autentiškumas patvirtintas ant kiekvieno sutarties lapo kiekvienos šalies tinkamus įgaliojimus turinčių asmenų parašais arba sutartis susiuvama ir pasirašoma paskutinio lapo antroje pusėje.</w:t>
      </w:r>
    </w:p>
    <w:p>
      <w:pPr>
        <w:pStyle w:val="NoSpacing"/>
        <w:ind w:firstLine="1298"/>
        <w:jc w:val="both"/>
        <w:rPr>
          <w:rFonts w:ascii="Times New Roman" w:hAnsi="Times New Roman"/>
          <w:sz w:val="24"/>
          <w:szCs w:val="24"/>
        </w:rPr>
      </w:pPr>
      <w:r>
        <w:rPr>
          <w:rFonts w:ascii="Times New Roman" w:hAnsi="Times New Roman"/>
          <w:sz w:val="24"/>
          <w:szCs w:val="24"/>
        </w:rPr>
        <w:t>48. Perkančioji organizacija gali tiesiogiai atsikaityti su subtiekėjais jei subtiekėjas išreiškia norą pasinaudoti tiesioginio atsiskaitymo galimybe. Tokiu atveju turi būti sudaroma trišalė sutartis tarp  perkančiosios organizacijos, tiekėjo ir subtiekėjo, kurioje aprašoma tiesioginio atsiskaitymo su subtiekėju tvarka atsižvelgiant į šioje sutartyje ir subtiekimo sutartyje nustatytus reikalavimus, įskaitant teisę tiekėjui  prieštarauti dėl nepagrįstų mokėjimų. Trišalės sutarties dėl tiesioginio atsiskaitymo su subtiekėju/ subrangovu pasirašymas nepakeičia tiekėjo atsakomybės dėl šios sutarties vykdymo.</w:t>
      </w:r>
    </w:p>
    <w:p>
      <w:pPr>
        <w:pStyle w:val="NoSpacing"/>
        <w:ind w:firstLine="1298"/>
        <w:jc w:val="both"/>
        <w:rPr>
          <w:rFonts w:ascii="Times New Roman" w:hAnsi="Times New Roman"/>
          <w:sz w:val="24"/>
          <w:szCs w:val="24"/>
        </w:rPr>
      </w:pPr>
      <w:r>
        <w:rPr>
          <w:rFonts w:ascii="Times New Roman" w:hAnsi="Times New Roman"/>
          <w:sz w:val="24"/>
          <w:szCs w:val="24"/>
        </w:rPr>
        <w:t>49. Pasirašius sutartį, perkančioji organizacija ne vėliau kaip per 3 darbo dienas informuos žinomus subtiekėjus apie tokią sutartyje numatytą tiesioginio atsiskaitymo galimybę. Jei kiti subtiekėjai/ subrangovai paaiškėja vėliau – ši informacija jiems pateikiama per 3 darbo dienas nuo informacijos apie naujo subtiekėjo/ subrangovo  pasitelkimą iš tiekėjo gavimo dienos. Subtiekėjai/ subrangovai norintys pasinaudoti tiesioginio atsiskaitymo galimybe perkančiąją organizaciją turi informuoti ne vėliau kaip per 3 darbo dienas nuo tokio perkančiosios organizacijos pranešimo gavimo dienos.</w:t>
      </w:r>
    </w:p>
    <w:p>
      <w:pPr>
        <w:pStyle w:val="NoSpacing"/>
        <w:ind w:firstLine="1298"/>
        <w:jc w:val="both"/>
        <w:rPr>
          <w:rFonts w:ascii="Times New Roman" w:hAnsi="Times New Roman"/>
          <w:sz w:val="24"/>
          <w:szCs w:val="24"/>
        </w:rPr>
      </w:pPr>
      <w:r>
        <w:rPr>
          <w:rFonts w:ascii="Times New Roman" w:hAnsi="Times New Roman"/>
          <w:sz w:val="24"/>
          <w:szCs w:val="24"/>
        </w:rPr>
        <w:t>50. Ši sutartis sudaryta dviem egzemplioriais, po vieną kiekvienai šaliai ir turi vienodą juridinę galią.</w:t>
      </w:r>
    </w:p>
    <w:p>
      <w:pPr>
        <w:pStyle w:val="NoSpacing"/>
        <w:ind w:firstLine="1298"/>
        <w:jc w:val="both"/>
        <w:rPr>
          <w:rFonts w:ascii="Times New Roman" w:hAnsi="Times New Roman"/>
          <w:sz w:val="24"/>
          <w:szCs w:val="24"/>
        </w:rPr>
      </w:pPr>
      <w:r>
        <w:rPr>
          <w:rFonts w:ascii="Times New Roman" w:hAnsi="Times New Roman"/>
          <w:sz w:val="24"/>
          <w:szCs w:val="24"/>
        </w:rPr>
        <w:t>51. Sutarties sąlygų keitimas įforminamas šalių susitarimu, kuris tampa neatskiriama sutarties dalimi. Sutarties sąlygos keičiamos, raštu gavus informaciją apie pakeistą kitos šalies atsiskaitomąją sąskaitą banke, sudarant papildomą rašytinį susitarimą, kuris yra neatsiejama sutarties dalis.</w:t>
      </w:r>
    </w:p>
    <w:p>
      <w:pPr>
        <w:pStyle w:val="Normal"/>
        <w:tabs>
          <w:tab w:val="clear" w:pos="1296"/>
          <w:tab w:val="left" w:pos="720" w:leader="none"/>
        </w:tabs>
        <w:spacing w:lineRule="auto" w:line="240" w:before="0" w:after="0"/>
        <w:ind w:firstLine="1298"/>
        <w:jc w:val="both"/>
        <w:rPr>
          <w:rFonts w:ascii="Times New Roman" w:hAnsi="Times New Roman" w:cs="Times New Roman"/>
          <w:sz w:val="24"/>
          <w:szCs w:val="24"/>
        </w:rPr>
      </w:pPr>
      <w:r>
        <w:rPr>
          <w:rFonts w:cs="Times New Roman" w:ascii="Times New Roman" w:hAnsi="Times New Roman"/>
          <w:sz w:val="24"/>
          <w:szCs w:val="24"/>
        </w:rPr>
        <w:t>52. Už sutartį atsakingi asmenys:</w:t>
      </w:r>
    </w:p>
    <w:p>
      <w:pPr>
        <w:pStyle w:val="Normal"/>
        <w:tabs>
          <w:tab w:val="clear" w:pos="1296"/>
          <w:tab w:val="left" w:pos="720" w:leader="none"/>
        </w:tabs>
        <w:spacing w:lineRule="auto" w:line="240" w:before="0" w:after="0"/>
        <w:ind w:firstLine="1298"/>
        <w:jc w:val="both"/>
        <w:rPr>
          <w:rFonts w:ascii="Times New Roman" w:hAnsi="Times New Roman" w:cs="Times New Roman"/>
          <w:sz w:val="24"/>
          <w:szCs w:val="24"/>
        </w:rPr>
      </w:pPr>
      <w:r>
        <w:rPr>
          <w:rFonts w:cs="Times New Roman" w:ascii="Times New Roman" w:hAnsi="Times New Roman"/>
          <w:sz w:val="24"/>
          <w:szCs w:val="24"/>
        </w:rPr>
        <w:t>52.1. Pirkėjo paskirtas asmuo, atsakingas už sutarties vykdymą –  ... (nurodyti tokio asmens vardą, pavardę, pareigas, kontaktinius asmenis).</w:t>
      </w:r>
    </w:p>
    <w:p>
      <w:pPr>
        <w:pStyle w:val="Normal"/>
        <w:tabs>
          <w:tab w:val="clear" w:pos="1296"/>
          <w:tab w:val="left" w:pos="720" w:leader="none"/>
        </w:tabs>
        <w:spacing w:lineRule="auto" w:line="240" w:before="0" w:after="0"/>
        <w:ind w:firstLine="1298"/>
        <w:jc w:val="both"/>
        <w:rPr>
          <w:rFonts w:ascii="Times New Roman" w:hAnsi="Times New Roman" w:cs="Times New Roman"/>
          <w:sz w:val="24"/>
          <w:szCs w:val="24"/>
        </w:rPr>
      </w:pPr>
      <w:r>
        <w:rPr>
          <w:rFonts w:cs="Times New Roman" w:ascii="Times New Roman" w:hAnsi="Times New Roman"/>
          <w:sz w:val="24"/>
          <w:szCs w:val="24"/>
        </w:rPr>
        <w:t>52.2. Pirkėjo paskirtas asmuo, atsakingas už sutarties ir pakeitimų paskelbimą – ... (nurodyti tokio asmens vardą, pavardę, pareigas, kontaktinius asmenis).</w:t>
      </w:r>
    </w:p>
    <w:p>
      <w:pPr>
        <w:pStyle w:val="Normal"/>
        <w:tabs>
          <w:tab w:val="clear" w:pos="1296"/>
          <w:tab w:val="left" w:pos="720" w:leader="none"/>
        </w:tabs>
        <w:spacing w:lineRule="auto" w:line="240" w:before="0" w:after="0"/>
        <w:ind w:firstLine="1298"/>
        <w:jc w:val="both"/>
        <w:rPr>
          <w:rFonts w:ascii="Times New Roman" w:hAnsi="Times New Roman" w:cs="Times New Roman"/>
          <w:sz w:val="24"/>
          <w:szCs w:val="24"/>
        </w:rPr>
      </w:pPr>
      <w:r>
        <w:rPr>
          <w:rFonts w:cs="Times New Roman" w:ascii="Times New Roman" w:hAnsi="Times New Roman"/>
          <w:sz w:val="24"/>
          <w:szCs w:val="24"/>
        </w:rPr>
        <w:t>52.3. Pardavėjo paskirtas asmuo, atsakingas už sutarties vykdymą – ... (nurodyti tokio asmens vardą, pavardę, pareigas, kontaktinius asmenis), jam nesant ją pavaduojantis asmuo.</w:t>
      </w:r>
    </w:p>
    <w:p>
      <w:pPr>
        <w:pStyle w:val="Normal"/>
        <w:spacing w:lineRule="auto" w:line="240" w:before="0" w:after="0"/>
        <w:ind w:firstLine="1298"/>
        <w:jc w:val="center"/>
        <w:rPr>
          <w:rFonts w:ascii="Times New Roman" w:hAnsi="Times New Roman" w:eastAsia="Times New Roman" w:cs="Times New Roman"/>
          <w:sz w:val="24"/>
          <w:szCs w:val="24"/>
          <w:lang w:eastAsia="lt-LT"/>
        </w:rPr>
      </w:pPr>
      <w:r>
        <w:rPr>
          <w:rFonts w:eastAsia="Times New Roman" w:cs="Times New Roman" w:ascii="Times New Roman" w:hAnsi="Times New Roman"/>
          <w:sz w:val="24"/>
          <w:szCs w:val="24"/>
          <w:lang w:eastAsia="lt-LT"/>
        </w:rPr>
      </w:r>
    </w:p>
    <w:p>
      <w:pPr>
        <w:pStyle w:val="Normal"/>
        <w:widowControl w:val="false"/>
        <w:ind w:firstLine="720"/>
        <w:jc w:val="center"/>
        <w:rPr>
          <w:rFonts w:ascii="Times New Roman" w:hAnsi="Times New Roman" w:cs="Times New Roman"/>
          <w:b/>
          <w:sz w:val="24"/>
          <w:szCs w:val="24"/>
        </w:rPr>
      </w:pPr>
      <w:r>
        <w:rPr>
          <w:rFonts w:cs="Times New Roman" w:ascii="Times New Roman" w:hAnsi="Times New Roman"/>
          <w:b/>
          <w:sz w:val="24"/>
          <w:szCs w:val="24"/>
        </w:rPr>
        <w:t>XIII. SUTARTIES PRIEDAI</w:t>
      </w:r>
    </w:p>
    <w:p>
      <w:pPr>
        <w:pStyle w:val="Normal"/>
        <w:spacing w:lineRule="auto" w:line="240" w:before="0" w:after="0"/>
        <w:ind w:firstLine="1298"/>
        <w:jc w:val="both"/>
        <w:rPr>
          <w:rFonts w:ascii="Times New Roman" w:hAnsi="Times New Roman" w:cs="Times New Roman"/>
          <w:sz w:val="24"/>
          <w:szCs w:val="24"/>
        </w:rPr>
      </w:pPr>
      <w:r>
        <w:rPr>
          <w:rFonts w:cs="Times New Roman" w:ascii="Times New Roman" w:hAnsi="Times New Roman"/>
          <w:sz w:val="24"/>
          <w:szCs w:val="24"/>
        </w:rPr>
        <w:t>53. Priedai, kurie yra neatsiejama sutarties dalis:</w:t>
      </w:r>
    </w:p>
    <w:p>
      <w:pPr>
        <w:pStyle w:val="Normal"/>
        <w:spacing w:lineRule="auto" w:line="240" w:before="0" w:after="0"/>
        <w:ind w:firstLine="1298"/>
        <w:jc w:val="both"/>
        <w:rPr>
          <w:rFonts w:ascii="Times New Roman" w:hAnsi="Times New Roman" w:eastAsia="Times New Roman" w:cs="Times New Roman"/>
          <w:sz w:val="24"/>
          <w:szCs w:val="24"/>
        </w:rPr>
      </w:pPr>
      <w:r>
        <w:rPr>
          <w:rFonts w:cs="Times New Roman" w:ascii="Times New Roman" w:hAnsi="Times New Roman"/>
          <w:sz w:val="24"/>
          <w:szCs w:val="24"/>
        </w:rPr>
        <w:t xml:space="preserve">53.1. </w:t>
      </w:r>
      <w:r>
        <w:rPr>
          <w:rFonts w:eastAsia="Times New Roman" w:cs="Times New Roman" w:ascii="Times New Roman" w:hAnsi="Times New Roman"/>
          <w:sz w:val="24"/>
          <w:szCs w:val="24"/>
        </w:rPr>
        <w:t>Socialinių išmokų, skirtų asmenims, patiriantiems socialinę riziką, sąrašas.</w:t>
      </w:r>
    </w:p>
    <w:p>
      <w:pPr>
        <w:pStyle w:val="Normal"/>
        <w:spacing w:lineRule="auto" w:line="240" w:before="0" w:after="0"/>
        <w:ind w:firstLine="129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53.2. Susitarimas dėl asmens duomenų tvarkymo.</w:t>
      </w:r>
    </w:p>
    <w:p>
      <w:pPr>
        <w:pStyle w:val="Normal"/>
        <w:spacing w:lineRule="auto" w:line="240" w:before="0" w:after="0"/>
        <w:ind w:firstLine="1298"/>
        <w:jc w:val="both"/>
        <w:rPr>
          <w:rFonts w:ascii="Times New Roman" w:hAnsi="Times New Roman" w:eastAsia="Times New Roman" w:cs="Times New Roman"/>
          <w:b/>
          <w:sz w:val="24"/>
          <w:szCs w:val="24"/>
        </w:rPr>
      </w:pPr>
      <w:r>
        <w:rPr>
          <w:rFonts w:eastAsia="Times New Roman" w:cs="Times New Roman" w:ascii="Times New Roman" w:hAnsi="Times New Roman"/>
          <w:bCs/>
          <w:iCs/>
          <w:sz w:val="24"/>
          <w:szCs w:val="24"/>
          <w:lang w:eastAsia="lt-LT"/>
        </w:rPr>
        <w:t>53.3. Socialinių kortelių perdavimo–priėmimo aktas.</w:t>
      </w:r>
    </w:p>
    <w:p>
      <w:pPr>
        <w:pStyle w:val="Normal"/>
        <w:spacing w:lineRule="auto" w:line="240" w:before="0" w:after="0"/>
        <w:ind w:firstLine="1298"/>
        <w:jc w:val="both"/>
        <w:rPr>
          <w:rFonts w:ascii="Times New Roman" w:hAnsi="Times New Roman" w:cs="Times New Roman"/>
          <w:sz w:val="24"/>
          <w:szCs w:val="24"/>
        </w:rPr>
      </w:pPr>
      <w:r>
        <w:rPr>
          <w:rFonts w:cs="Times New Roman" w:ascii="Times New Roman" w:hAnsi="Times New Roman"/>
          <w:sz w:val="24"/>
          <w:szCs w:val="24"/>
        </w:rPr>
        <w:t>53.4. Techninė specifikacija.</w:t>
      </w:r>
    </w:p>
    <w:p>
      <w:pPr>
        <w:pStyle w:val="Normal"/>
        <w:spacing w:lineRule="auto" w:line="240" w:before="0" w:after="0"/>
        <w:ind w:firstLine="1298"/>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eastAsia="Times New Roman" w:cs="Times New Roman"/>
          <w:b/>
          <w:sz w:val="24"/>
          <w:szCs w:val="24"/>
          <w:lang w:eastAsia="lt-LT"/>
        </w:rPr>
      </w:pPr>
      <w:r>
        <w:rPr>
          <w:rFonts w:eastAsia="Times New Roman" w:cs="Times New Roman" w:ascii="Times New Roman" w:hAnsi="Times New Roman"/>
          <w:b/>
          <w:sz w:val="24"/>
          <w:szCs w:val="24"/>
          <w:lang w:eastAsia="lt-LT"/>
        </w:rPr>
        <w:t>XIII.  ŠALIŲ REKVIZITAI IR PARAŠAI</w:t>
      </w:r>
    </w:p>
    <w:p>
      <w:pPr>
        <w:pStyle w:val="Normal"/>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tbl>
      <w:tblPr>
        <w:tblW w:w="9039" w:type="dxa"/>
        <w:jc w:val="left"/>
        <w:tblInd w:w="216" w:type="dxa"/>
        <w:tblLayout w:type="fixed"/>
        <w:tblCellMar>
          <w:top w:w="0" w:type="dxa"/>
          <w:left w:w="108" w:type="dxa"/>
          <w:bottom w:w="0" w:type="dxa"/>
          <w:right w:w="108" w:type="dxa"/>
        </w:tblCellMar>
        <w:tblLook w:val="04a0"/>
      </w:tblPr>
      <w:tblGrid>
        <w:gridCol w:w="4465"/>
        <w:gridCol w:w="4573"/>
      </w:tblGrid>
      <w:tr>
        <w:trPr/>
        <w:tc>
          <w:tcPr>
            <w:tcW w:w="4465" w:type="dxa"/>
            <w:tcBorders/>
          </w:tcPr>
          <w:p>
            <w:pPr>
              <w:pStyle w:val="Normal"/>
              <w:widowControl w:val="false"/>
              <w:spacing w:lineRule="auto" w:line="240" w:before="0" w:after="0"/>
              <w:rPr>
                <w:rFonts w:ascii="Times New Roman" w:hAnsi="Times New Roman" w:cs="Times New Roman"/>
                <w:b/>
                <w:sz w:val="24"/>
                <w:szCs w:val="24"/>
              </w:rPr>
            </w:pPr>
            <w:r>
              <w:rPr>
                <w:rFonts w:cs="Times New Roman" w:ascii="Times New Roman" w:hAnsi="Times New Roman"/>
                <w:b/>
                <w:bCs/>
                <w:sz w:val="24"/>
                <w:szCs w:val="24"/>
              </w:rPr>
              <w:t>Pirkėjas</w:t>
            </w:r>
          </w:p>
        </w:tc>
        <w:tc>
          <w:tcPr>
            <w:tcW w:w="4573" w:type="dxa"/>
            <w:tcBorders/>
          </w:tcPr>
          <w:p>
            <w:pPr>
              <w:pStyle w:val="Normal"/>
              <w:widowControl w:val="false"/>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t>Pardavėjas</w:t>
            </w:r>
          </w:p>
        </w:tc>
      </w:tr>
      <w:tr>
        <w:trPr/>
        <w:tc>
          <w:tcPr>
            <w:tcW w:w="4465"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465"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Prienų rajono  savivaldybės administracija</w:t>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rPr>
              <w:t>(Įrašyti pardavėjo pavadinimą)</w:t>
            </w:r>
          </w:p>
        </w:tc>
      </w:tr>
      <w:tr>
        <w:trPr/>
        <w:tc>
          <w:tcPr>
            <w:tcW w:w="4465"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Kodas 288742590</w:t>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rPr>
              <w:t>Kodas</w:t>
            </w:r>
          </w:p>
        </w:tc>
      </w:tr>
      <w:tr>
        <w:trPr/>
        <w:tc>
          <w:tcPr>
            <w:tcW w:w="4465"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Laisvės a. 12, LT59126 Prienai</w:t>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rPr>
              <w:t>(Įrašyti pardavėjo adresą)</w:t>
            </w:r>
          </w:p>
        </w:tc>
      </w:tr>
      <w:tr>
        <w:trPr/>
        <w:tc>
          <w:tcPr>
            <w:tcW w:w="4465"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PVM mokėtojo kodas</w:t>
            </w:r>
          </w:p>
        </w:tc>
      </w:tr>
      <w:tr>
        <w:trPr/>
        <w:tc>
          <w:tcPr>
            <w:tcW w:w="4465"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rPr>
              <w:t>(Įrašyti banko pavadinimą)</w:t>
            </w:r>
          </w:p>
        </w:tc>
      </w:tr>
      <w:tr>
        <w:trPr/>
        <w:tc>
          <w:tcPr>
            <w:tcW w:w="4465"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rPr>
              <w:t>A. s.</w:t>
            </w:r>
          </w:p>
        </w:tc>
      </w:tr>
      <w:tr>
        <w:trPr/>
        <w:tc>
          <w:tcPr>
            <w:tcW w:w="4465"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rPr>
              <w:t>Tel. (8 319) 61149</w:t>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rPr>
              <w:t>Tel.</w:t>
            </w:r>
          </w:p>
        </w:tc>
      </w:tr>
      <w:tr>
        <w:trPr/>
        <w:tc>
          <w:tcPr>
            <w:tcW w:w="4465"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465"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rPr>
              <w:t>El. p. administracija@prienai.lt</w:t>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rPr>
              <w:t>El. p.</w:t>
            </w:r>
          </w:p>
        </w:tc>
      </w:tr>
      <w:tr>
        <w:trPr/>
        <w:tc>
          <w:tcPr>
            <w:tcW w:w="4465"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465"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Administracijos direktorius</w:t>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rPr>
              <w:t>(Įrašyti pardavėjo pareigas)</w:t>
            </w:r>
          </w:p>
        </w:tc>
      </w:tr>
      <w:tr>
        <w:trPr/>
        <w:tc>
          <w:tcPr>
            <w:tcW w:w="4465"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465"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rPr>
              <w:t>(Parašas)</w:t>
            </w:r>
          </w:p>
        </w:tc>
        <w:tc>
          <w:tcPr>
            <w:tcW w:w="4573" w:type="dxa"/>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rPr>
              <w:t>(Parašas)</w:t>
            </w:r>
          </w:p>
        </w:tc>
      </w:tr>
      <w:tr>
        <w:trPr/>
        <w:tc>
          <w:tcPr>
            <w:tcW w:w="4465" w:type="dxa"/>
            <w:tcBorders/>
          </w:tcPr>
          <w:p>
            <w:pPr>
              <w:pStyle w:val="Normal"/>
              <w:widowControl w:val="false"/>
              <w:spacing w:lineRule="auto" w:line="240" w:before="0" w:after="0"/>
              <w:rPr>
                <w:rFonts w:ascii="Times New Roman" w:hAnsi="Times New Roman" w:cs="Times New Roman"/>
                <w:color w:val="000000"/>
                <w:sz w:val="24"/>
                <w:szCs w:val="24"/>
              </w:rPr>
            </w:pPr>
            <w:r>
              <w:rPr>
                <w:rFonts w:cs="Times New Roman" w:ascii="Times New Roman" w:hAnsi="Times New Roman"/>
                <w:sz w:val="24"/>
                <w:szCs w:val="24"/>
              </w:rPr>
              <w:t>(Vardas, pavardė)</w:t>
            </w:r>
          </w:p>
        </w:tc>
        <w:tc>
          <w:tcPr>
            <w:tcW w:w="4573" w:type="dxa"/>
            <w:tcBorders/>
          </w:tcPr>
          <w:p>
            <w:pPr>
              <w:pStyle w:val="Normal"/>
              <w:widowControl w:val="false"/>
              <w:spacing w:lineRule="auto" w:line="240" w:before="0" w:after="0"/>
              <w:rPr>
                <w:rFonts w:ascii="Times New Roman" w:hAnsi="Times New Roman" w:cs="Times New Roman"/>
                <w:color w:val="000000"/>
                <w:sz w:val="24"/>
                <w:szCs w:val="24"/>
              </w:rPr>
            </w:pPr>
            <w:r>
              <w:rPr>
                <w:rFonts w:cs="Times New Roman" w:ascii="Times New Roman" w:hAnsi="Times New Roman"/>
                <w:sz w:val="24"/>
                <w:szCs w:val="24"/>
              </w:rPr>
              <w:t>(Vardas, pavardė)</w:t>
            </w:r>
          </w:p>
        </w:tc>
      </w:tr>
      <w:tr>
        <w:trPr/>
        <w:tc>
          <w:tcPr>
            <w:tcW w:w="4465" w:type="dxa"/>
            <w:tcBorders/>
          </w:tcPr>
          <w:p>
            <w:pPr>
              <w:pStyle w:val="Normal"/>
              <w:widowControl w:val="false"/>
              <w:spacing w:lineRule="auto" w:line="240" w:before="0" w:after="0"/>
              <w:rPr>
                <w:rFonts w:ascii="Times New Roman" w:hAnsi="Times New Roman" w:cs="Times New Roman"/>
                <w:sz w:val="24"/>
                <w:szCs w:val="24"/>
                <w:highlight w:val="yellow"/>
              </w:rPr>
            </w:pPr>
            <w:r>
              <w:rPr>
                <w:rFonts w:cs="Times New Roman" w:ascii="Times New Roman" w:hAnsi="Times New Roman"/>
                <w:sz w:val="24"/>
                <w:szCs w:val="24"/>
                <w:highlight w:val="yellow"/>
              </w:rPr>
            </w:r>
          </w:p>
        </w:tc>
        <w:tc>
          <w:tcPr>
            <w:tcW w:w="4573" w:type="dxa"/>
            <w:tcBorders/>
          </w:tcPr>
          <w:p>
            <w:pPr>
              <w:pStyle w:val="Normal"/>
              <w:widowControl w:val="false"/>
              <w:spacing w:lineRule="auto" w:line="240" w:before="0" w:after="0"/>
              <w:rPr>
                <w:rFonts w:ascii="Times New Roman" w:hAnsi="Times New Roman" w:cs="Times New Roman"/>
                <w:sz w:val="24"/>
                <w:szCs w:val="24"/>
                <w:highlight w:val="yellow"/>
              </w:rPr>
            </w:pPr>
            <w:r>
              <w:rPr>
                <w:rFonts w:cs="Times New Roman" w:ascii="Times New Roman" w:hAnsi="Times New Roman"/>
                <w:sz w:val="24"/>
                <w:szCs w:val="24"/>
                <w:highlight w:val="yellow"/>
              </w:rPr>
            </w:r>
          </w:p>
        </w:tc>
      </w:tr>
    </w:tbl>
    <w:p>
      <w:pPr>
        <w:pStyle w:val="Normal"/>
        <w:tabs>
          <w:tab w:val="clear" w:pos="1296"/>
          <w:tab w:val="left" w:pos="1701" w:leader="none"/>
        </w:tabs>
        <w:spacing w:lineRule="auto" w:line="240" w:before="0" w:after="0"/>
        <w:ind w:firstLine="709" w:left="5103"/>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tabs>
          <w:tab w:val="clear" w:pos="1296"/>
          <w:tab w:val="left" w:pos="1701" w:leader="none"/>
        </w:tabs>
        <w:spacing w:lineRule="auto" w:line="240" w:before="0" w:after="0"/>
        <w:ind w:firstLine="709" w:left="5103"/>
        <w:rPr>
          <w:rFonts w:ascii="Times New Roman" w:hAnsi="Times New Roman" w:cs="Times New Roman"/>
          <w:sz w:val="24"/>
          <w:szCs w:val="24"/>
        </w:rPr>
      </w:pPr>
      <w:r>
        <w:rPr>
          <w:rFonts w:cs="Times New Roman" w:ascii="Times New Roman" w:hAnsi="Times New Roman"/>
          <w:sz w:val="24"/>
          <w:szCs w:val="24"/>
        </w:rPr>
        <w:t xml:space="preserve">2026 m.           </w:t>
      </w:r>
    </w:p>
    <w:p>
      <w:pPr>
        <w:pStyle w:val="Normal"/>
        <w:tabs>
          <w:tab w:val="clear" w:pos="1296"/>
          <w:tab w:val="left" w:pos="1701" w:leader="none"/>
        </w:tabs>
        <w:spacing w:lineRule="auto" w:line="240" w:before="0" w:after="0"/>
        <w:ind w:firstLine="709" w:left="5103"/>
        <w:rPr>
          <w:rFonts w:ascii="Times New Roman" w:hAnsi="Times New Roman" w:cs="Times New Roman"/>
          <w:sz w:val="24"/>
          <w:szCs w:val="24"/>
        </w:rPr>
      </w:pPr>
      <w:r>
        <w:rPr>
          <w:rFonts w:cs="Times New Roman" w:ascii="Times New Roman" w:hAnsi="Times New Roman"/>
          <w:sz w:val="24"/>
          <w:szCs w:val="24"/>
        </w:rPr>
        <w:t>Sutarties Nr.________</w:t>
      </w:r>
    </w:p>
    <w:p>
      <w:pPr>
        <w:pStyle w:val="Normal"/>
        <w:tabs>
          <w:tab w:val="clear" w:pos="1296"/>
          <w:tab w:val="left" w:pos="1701"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tab/>
        <w:tab/>
        <w:tab/>
        <w:t xml:space="preserve">          1 priedas         </w:t>
      </w:r>
    </w:p>
    <w:p>
      <w:pPr>
        <w:pStyle w:val="Normal"/>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center"/>
        <w:rPr>
          <w:rFonts w:ascii="Times New Roman" w:hAnsi="Times New Roman" w:eastAsia="Times New Roman" w:cs="Times New Roman"/>
          <w:b/>
          <w:sz w:val="24"/>
          <w:szCs w:val="24"/>
        </w:rPr>
      </w:pPr>
      <w:r>
        <w:rPr>
          <w:rFonts w:eastAsia="Times New Roman" w:cs="Times New Roman" w:ascii="Times New Roman" w:hAnsi="Times New Roman"/>
          <w:b/>
          <w:sz w:val="24"/>
          <w:szCs w:val="24"/>
        </w:rPr>
        <w:t>SOCIALINIŲ IŠMOKŲ, SKIRTŲ ASMENIMS, PATIRIANTIEMS SOCIALINĘ RIZIKĄ, SĄRAŠAS</w:t>
      </w:r>
    </w:p>
    <w:p>
      <w:pPr>
        <w:pStyle w:val="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tbl>
      <w:tblPr>
        <w:tblW w:w="9540" w:type="dxa"/>
        <w:jc w:val="left"/>
        <w:tblInd w:w="89" w:type="dxa"/>
        <w:tblLayout w:type="fixed"/>
        <w:tblCellMar>
          <w:top w:w="0" w:type="dxa"/>
          <w:left w:w="108" w:type="dxa"/>
          <w:bottom w:w="0" w:type="dxa"/>
          <w:right w:w="108" w:type="dxa"/>
        </w:tblCellMar>
        <w:tblLook w:val="04a0"/>
      </w:tblPr>
      <w:tblGrid>
        <w:gridCol w:w="1036"/>
        <w:gridCol w:w="5808"/>
        <w:gridCol w:w="2696"/>
      </w:tblGrid>
      <w:tr>
        <w:trPr>
          <w:trHeight w:val="331" w:hRule="atLeast"/>
        </w:trPr>
        <w:tc>
          <w:tcPr>
            <w:tcW w:w="1036" w:type="dxa"/>
            <w:tcBorders>
              <w:top w:val="single" w:sz="4" w:space="0" w:color="000000"/>
              <w:left w:val="single" w:sz="4" w:space="0" w:color="000000"/>
              <w:bottom w:val="single" w:sz="4" w:space="0" w:color="000000"/>
              <w:right w:val="single" w:sz="4" w:space="0" w:color="000000"/>
            </w:tcBorders>
            <w:vAlign w:val="bottom"/>
          </w:tcPr>
          <w:p>
            <w:pPr>
              <w:pStyle w:val="Normal"/>
              <w:spacing w:lineRule="auto" w:line="240" w:before="0" w:after="0"/>
              <w:ind w:right="-134"/>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rPr>
              <w:t>Eil. Nr.</w:t>
            </w:r>
          </w:p>
        </w:tc>
        <w:tc>
          <w:tcPr>
            <w:tcW w:w="5808" w:type="dxa"/>
            <w:tcBorders>
              <w:top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rPr>
              <w:t>Kortelės numeris</w:t>
            </w:r>
          </w:p>
        </w:tc>
        <w:tc>
          <w:tcPr>
            <w:tcW w:w="2696" w:type="dxa"/>
            <w:tcBorders>
              <w:top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rPr>
              <w:t>Išmokos dydis</w:t>
            </w:r>
          </w:p>
        </w:tc>
      </w:tr>
      <w:tr>
        <w:trPr>
          <w:trHeight w:val="315" w:hRule="atLeast"/>
        </w:trPr>
        <w:tc>
          <w:tcPr>
            <w:tcW w:w="1036" w:type="dxa"/>
            <w:tcBorders>
              <w:left w:val="single" w:sz="4" w:space="0" w:color="000000"/>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sz w:val="24"/>
                <w:szCs w:val="24"/>
                <w:lang w:val="lt-LT" w:eastAsia="en-US"/>
              </w:rPr>
            </w:pPr>
            <w:r>
              <w:rPr>
                <w:rFonts w:eastAsia="Times New Roman" w:cs="Times New Roman" w:ascii="Times New Roman" w:hAnsi="Times New Roman"/>
                <w:sz w:val="24"/>
                <w:szCs w:val="24"/>
                <w:lang w:val="lt-LT" w:eastAsia="en-US"/>
              </w:rPr>
            </w:r>
          </w:p>
        </w:tc>
        <w:tc>
          <w:tcPr>
            <w:tcW w:w="5808"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sz w:val="24"/>
                <w:szCs w:val="24"/>
                <w:lang w:val="lt-LT" w:eastAsia="en-US"/>
              </w:rPr>
            </w:pPr>
            <w:r>
              <w:rPr>
                <w:rFonts w:eastAsia="Times New Roman" w:cs="Times New Roman" w:ascii="Times New Roman" w:hAnsi="Times New Roman"/>
                <w:sz w:val="24"/>
                <w:szCs w:val="24"/>
                <w:lang w:val="lt-LT" w:eastAsia="en-US"/>
              </w:rPr>
            </w:r>
          </w:p>
        </w:tc>
        <w:tc>
          <w:tcPr>
            <w:tcW w:w="2696"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sz w:val="24"/>
                <w:szCs w:val="24"/>
                <w:lang w:val="lt-LT" w:eastAsia="en-US"/>
              </w:rPr>
            </w:pPr>
            <w:r>
              <w:rPr>
                <w:rFonts w:eastAsia="Times New Roman" w:cs="Times New Roman" w:ascii="Times New Roman" w:hAnsi="Times New Roman"/>
                <w:sz w:val="24"/>
                <w:szCs w:val="24"/>
                <w:lang w:val="lt-LT" w:eastAsia="en-US"/>
              </w:rPr>
            </w:r>
          </w:p>
        </w:tc>
      </w:tr>
      <w:tr>
        <w:trPr>
          <w:trHeight w:val="315" w:hRule="atLeast"/>
        </w:trPr>
        <w:tc>
          <w:tcPr>
            <w:tcW w:w="1036" w:type="dxa"/>
            <w:tcBorders>
              <w:left w:val="single" w:sz="4" w:space="0" w:color="000000"/>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2696"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r>
        <w:trPr>
          <w:trHeight w:val="315" w:hRule="atLeast"/>
        </w:trPr>
        <w:tc>
          <w:tcPr>
            <w:tcW w:w="1036" w:type="dxa"/>
            <w:tcBorders>
              <w:left w:val="single" w:sz="4" w:space="0" w:color="000000"/>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2696"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r>
        <w:trPr>
          <w:trHeight w:val="315" w:hRule="atLeast"/>
        </w:trPr>
        <w:tc>
          <w:tcPr>
            <w:tcW w:w="1036" w:type="dxa"/>
            <w:tcBorders>
              <w:left w:val="single" w:sz="4" w:space="0" w:color="000000"/>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2696"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r>
        <w:trPr>
          <w:trHeight w:val="315" w:hRule="atLeast"/>
        </w:trPr>
        <w:tc>
          <w:tcPr>
            <w:tcW w:w="1036" w:type="dxa"/>
            <w:tcBorders>
              <w:left w:val="single" w:sz="4" w:space="0" w:color="000000"/>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2696"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r>
        <w:trPr>
          <w:trHeight w:val="315" w:hRule="atLeast"/>
        </w:trPr>
        <w:tc>
          <w:tcPr>
            <w:tcW w:w="1036" w:type="dxa"/>
            <w:tcBorders>
              <w:left w:val="single" w:sz="4" w:space="0" w:color="000000"/>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2696"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r>
        <w:trPr>
          <w:trHeight w:val="300" w:hRule="atLeast"/>
        </w:trPr>
        <w:tc>
          <w:tcPr>
            <w:tcW w:w="1036" w:type="dxa"/>
            <w:tcBorders>
              <w:left w:val="single" w:sz="4" w:space="0" w:color="000000"/>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2696"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r>
        <w:trPr>
          <w:trHeight w:val="300" w:hRule="atLeast"/>
        </w:trPr>
        <w:tc>
          <w:tcPr>
            <w:tcW w:w="1036" w:type="dxa"/>
            <w:tcBorders>
              <w:left w:val="single" w:sz="4" w:space="0" w:color="000000"/>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2696"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r>
        <w:trPr>
          <w:trHeight w:val="300" w:hRule="atLeast"/>
        </w:trPr>
        <w:tc>
          <w:tcPr>
            <w:tcW w:w="1036" w:type="dxa"/>
            <w:tcBorders>
              <w:left w:val="single" w:sz="4" w:space="0" w:color="000000"/>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2696"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r>
        <w:trPr>
          <w:trHeight w:val="300" w:hRule="atLeast"/>
        </w:trPr>
        <w:tc>
          <w:tcPr>
            <w:tcW w:w="1036" w:type="dxa"/>
            <w:tcBorders>
              <w:left w:val="single" w:sz="4" w:space="0" w:color="000000"/>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bottom w:val="single" w:sz="4" w:space="0" w:color="000000"/>
              <w:right w:val="single" w:sz="4" w:space="0" w:color="000000"/>
            </w:tcBorders>
            <w:vAlign w:val="bottom"/>
          </w:tcPr>
          <w:p>
            <w:pPr>
              <w:pStyle w:val="Normal"/>
              <w:spacing w:lineRule="auto" w:line="240" w:before="0" w:after="0"/>
              <w:jc w:val="right"/>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rPr>
              <w:t>Viso:</w:t>
            </w:r>
          </w:p>
        </w:tc>
        <w:tc>
          <w:tcPr>
            <w:tcW w:w="2696" w:type="dxa"/>
            <w:tcBorders>
              <w:bottom w:val="single" w:sz="4" w:space="0" w:color="000000"/>
              <w:right w:val="single" w:sz="4" w:space="0" w:color="000000"/>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r>
        <w:trPr>
          <w:trHeight w:val="300" w:hRule="atLeast"/>
        </w:trPr>
        <w:tc>
          <w:tcPr>
            <w:tcW w:w="1036" w:type="dxa"/>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2696" w:type="dxa"/>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r>
        <w:trPr>
          <w:trHeight w:val="262" w:hRule="atLeast"/>
        </w:trPr>
        <w:tc>
          <w:tcPr>
            <w:tcW w:w="1036" w:type="dxa"/>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2696" w:type="dxa"/>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r>
        <w:trPr>
          <w:trHeight w:val="300" w:hRule="atLeast"/>
        </w:trPr>
        <w:tc>
          <w:tcPr>
            <w:tcW w:w="1036" w:type="dxa"/>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rPr>
              <w:t>Rengėjas</w:t>
            </w:r>
          </w:p>
        </w:tc>
        <w:tc>
          <w:tcPr>
            <w:tcW w:w="2696" w:type="dxa"/>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r>
        <w:trPr>
          <w:trHeight w:val="315" w:hRule="atLeast"/>
        </w:trPr>
        <w:tc>
          <w:tcPr>
            <w:tcW w:w="1036" w:type="dxa"/>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vAlign w:val="bottom"/>
          </w:tcPr>
          <w:p>
            <w:pPr>
              <w:pStyle w:val="Normal"/>
              <w:spacing w:lineRule="auto" w:line="240" w:before="0" w:after="0"/>
              <w:rPr>
                <w:rFonts w:ascii="Times New Roman" w:hAnsi="Times New Roman" w:eastAsia="Times New Roman" w:cs="Times New Roman"/>
                <w:sz w:val="24"/>
                <w:szCs w:val="24"/>
                <w:lang w:val="lt-LT" w:eastAsia="en-US"/>
              </w:rPr>
            </w:pPr>
            <w:r>
              <w:rPr>
                <w:rFonts w:eastAsia="Times New Roman" w:cs="Times New Roman" w:ascii="Times New Roman" w:hAnsi="Times New Roman"/>
                <w:sz w:val="24"/>
                <w:szCs w:val="24"/>
                <w:lang w:val="lt-LT" w:eastAsia="en-US"/>
              </w:rPr>
            </w:r>
          </w:p>
        </w:tc>
        <w:tc>
          <w:tcPr>
            <w:tcW w:w="2696" w:type="dxa"/>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r>
        <w:trPr>
          <w:trHeight w:val="315" w:hRule="atLeast"/>
        </w:trPr>
        <w:tc>
          <w:tcPr>
            <w:tcW w:w="1036" w:type="dxa"/>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c>
          <w:tcPr>
            <w:tcW w:w="5808" w:type="dxa"/>
            <w:tcBorders/>
            <w:vAlign w:val="bottom"/>
          </w:tcPr>
          <w:p>
            <w:pPr>
              <w:pStyle w:val="Normal"/>
              <w:spacing w:lineRule="auto" w:line="240" w:before="0" w:after="0"/>
              <w:rPr>
                <w:rFonts w:ascii="Times New Roman" w:hAnsi="Times New Roman" w:eastAsia="Times New Roman" w:cs="Times New Roman"/>
                <w:sz w:val="24"/>
                <w:szCs w:val="24"/>
                <w:lang w:val="lt-LT" w:eastAsia="en-US"/>
              </w:rPr>
            </w:pPr>
            <w:r>
              <w:rPr>
                <w:rFonts w:eastAsia="Times New Roman" w:cs="Times New Roman" w:ascii="Times New Roman" w:hAnsi="Times New Roman"/>
                <w:sz w:val="24"/>
                <w:szCs w:val="24"/>
                <w:lang w:val="lt-LT" w:eastAsia="en-US"/>
              </w:rPr>
            </w:r>
          </w:p>
        </w:tc>
        <w:tc>
          <w:tcPr>
            <w:tcW w:w="2696" w:type="dxa"/>
            <w:tcBorders/>
            <w:vAlign w:val="bottom"/>
          </w:tcPr>
          <w:p>
            <w:pPr>
              <w:pStyle w:val="Normal"/>
              <w:spacing w:lineRule="auto" w:line="240" w:before="0" w:after="0"/>
              <w:rPr>
                <w:rFonts w:ascii="Times New Roman" w:hAnsi="Times New Roman" w:eastAsia="Times New Roman" w:cs="Times New Roman"/>
                <w:color w:val="000000"/>
                <w:sz w:val="24"/>
                <w:szCs w:val="24"/>
                <w:lang w:val="lt-LT" w:eastAsia="en-US"/>
              </w:rPr>
            </w:pPr>
            <w:r>
              <w:rPr>
                <w:rFonts w:eastAsia="Times New Roman" w:cs="Times New Roman" w:ascii="Times New Roman" w:hAnsi="Times New Roman"/>
                <w:color w:val="000000"/>
                <w:sz w:val="24"/>
                <w:szCs w:val="24"/>
                <w:lang w:val="lt-LT" w:eastAsia="en-US"/>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r>
        <w:rPr>
          <w:szCs w:val="24"/>
        </w:rPr>
      </w:r>
    </w:p>
    <w:p>
      <w:pPr>
        <w:pStyle w:val="Normal"/>
        <w:spacing w:lineRule="auto" w:line="240" w:before="0" w:after="0"/>
        <w:ind w:left="6237"/>
        <w:rPr>
          <w:szCs w:val="24"/>
        </w:rPr>
      </w:pPr>
      <w:bookmarkStart w:id="76" w:name="_GoBack_Copy_2"/>
      <w:bookmarkEnd w:id="76"/>
      <w:r>
        <w:rPr>
          <w:szCs w:val="24"/>
        </w:rPr>
        <w:t xml:space="preserve">2026 m.          d  sutarties Nr.         </w:t>
      </w:r>
    </w:p>
    <w:p>
      <w:pPr>
        <w:pStyle w:val="Normal"/>
        <w:spacing w:lineRule="auto" w:line="240" w:before="0" w:after="0"/>
        <w:ind w:left="6237"/>
        <w:rPr>
          <w:szCs w:val="24"/>
        </w:rPr>
      </w:pPr>
      <w:r>
        <w:rPr>
          <w:szCs w:val="24"/>
        </w:rPr>
        <w:t>priedas Nr. 2</w:t>
      </w:r>
    </w:p>
    <w:p>
      <w:pPr>
        <w:pStyle w:val="Normal"/>
        <w:spacing w:lineRule="auto" w:line="240" w:before="0" w:after="0"/>
        <w:ind w:left="6237"/>
        <w:rPr>
          <w:szCs w:val="24"/>
        </w:rPr>
      </w:pPr>
      <w:r>
        <w:rPr>
          <w:szCs w:val="24"/>
        </w:rPr>
      </w:r>
    </w:p>
    <w:p>
      <w:pPr>
        <w:pStyle w:val="Normal"/>
        <w:spacing w:lineRule="auto" w:line="240" w:before="0" w:after="0"/>
        <w:jc w:val="center"/>
        <w:rPr>
          <w:rFonts w:eastAsia="Times New Roman"/>
          <w:b/>
          <w:szCs w:val="24"/>
        </w:rPr>
      </w:pPr>
      <w:r>
        <w:rPr>
          <w:rFonts w:eastAsia="Times New Roman"/>
          <w:b/>
          <w:szCs w:val="24"/>
        </w:rPr>
        <w:t>SUSITARIMAS DĖL ASMENS DUOMENŲ TVARKYMO</w:t>
      </w:r>
    </w:p>
    <w:p>
      <w:pPr>
        <w:pStyle w:val="Normal"/>
        <w:spacing w:lineRule="auto" w:line="240" w:before="0" w:after="0"/>
        <w:jc w:val="center"/>
        <w:rPr>
          <w:rFonts w:eastAsia="Times New Roman"/>
          <w:b/>
          <w:szCs w:val="24"/>
        </w:rPr>
      </w:pPr>
      <w:r>
        <w:rPr>
          <w:rFonts w:eastAsia="Times New Roman"/>
          <w:b/>
          <w:szCs w:val="24"/>
        </w:rPr>
      </w:r>
    </w:p>
    <w:p>
      <w:pPr>
        <w:pStyle w:val="Normal"/>
        <w:spacing w:lineRule="auto" w:line="240" w:before="0" w:after="0"/>
        <w:jc w:val="center"/>
        <w:rPr>
          <w:rFonts w:eastAsia="Times New Roman"/>
          <w:szCs w:val="24"/>
        </w:rPr>
      </w:pPr>
      <w:r>
        <w:rPr>
          <w:rFonts w:eastAsia="Times New Roman"/>
          <w:szCs w:val="24"/>
        </w:rPr>
        <w:t>2026 m. ____________ Nr. _____</w:t>
      </w:r>
    </w:p>
    <w:p>
      <w:pPr>
        <w:pStyle w:val="Normal"/>
        <w:spacing w:lineRule="auto" w:line="240" w:before="0" w:after="0"/>
        <w:jc w:val="center"/>
        <w:rPr>
          <w:rFonts w:eastAsia="Times New Roman"/>
          <w:szCs w:val="24"/>
        </w:rPr>
      </w:pPr>
      <w:r>
        <w:rPr>
          <w:rFonts w:eastAsia="Times New Roman"/>
          <w:szCs w:val="24"/>
        </w:rPr>
        <w:t>Prienai</w:t>
      </w:r>
    </w:p>
    <w:p>
      <w:pPr>
        <w:pStyle w:val="Normal"/>
        <w:spacing w:lineRule="auto" w:line="240" w:before="0" w:after="0"/>
        <w:jc w:val="center"/>
        <w:rPr>
          <w:rFonts w:eastAsia="Times New Roman"/>
          <w:szCs w:val="24"/>
        </w:rPr>
      </w:pPr>
      <w:r>
        <w:rPr>
          <w:rFonts w:eastAsia="Times New Roman"/>
          <w:szCs w:val="24"/>
        </w:rPr>
      </w:r>
    </w:p>
    <w:p>
      <w:pPr>
        <w:pStyle w:val="Normal"/>
        <w:widowControl w:val="false"/>
        <w:spacing w:before="0" w:after="0"/>
        <w:ind w:firstLine="1298"/>
        <w:jc w:val="both"/>
        <w:rPr>
          <w:szCs w:val="24"/>
        </w:rPr>
      </w:pPr>
      <w:r>
        <w:rPr/>
        <w:t xml:space="preserve">Prienų rajono savivaldybės administracija (juridinio asmens kodas 288742590), atstovaujama savivaldybės administracijos direktorės ..., veikiančios pagal Administracijos nuostatus, toliau vadinama </w:t>
      </w:r>
      <w:r>
        <w:rPr>
          <w:szCs w:val="24"/>
        </w:rPr>
        <w:t>„</w:t>
      </w:r>
      <w:r>
        <w:rPr>
          <w:b/>
          <w:szCs w:val="24"/>
        </w:rPr>
        <w:t>Duomenų valdytoju“</w:t>
      </w:r>
      <w:r>
        <w:rPr/>
        <w:t xml:space="preserve"> ir </w:t>
      </w:r>
      <w:r>
        <w:rPr>
          <w:szCs w:val="24"/>
        </w:rPr>
        <w:t>.......................................................... (</w:t>
      </w:r>
      <w:r>
        <w:rPr>
          <w:i/>
          <w:szCs w:val="24"/>
        </w:rPr>
        <w:t>pavadinimas, juridinio asmens kodas, adresas</w:t>
      </w:r>
      <w:r>
        <w:rPr>
          <w:szCs w:val="24"/>
        </w:rPr>
        <w:t xml:space="preserve">), </w:t>
      </w:r>
      <w:r>
        <w:rPr>
          <w:color w:themeColor="text1" w:val="000000"/>
          <w:szCs w:val="24"/>
        </w:rPr>
        <w:t xml:space="preserve">toliau vadinama </w:t>
      </w:r>
      <w:r>
        <w:rPr>
          <w:b/>
          <w:color w:themeColor="text1" w:val="000000"/>
          <w:szCs w:val="24"/>
        </w:rPr>
        <w:t>„Duomenų tvarkytoju“</w:t>
      </w:r>
      <w:r>
        <w:rPr>
          <w:bCs/>
          <w:color w:themeColor="text1" w:val="000000"/>
          <w:szCs w:val="24"/>
        </w:rPr>
        <w:t xml:space="preserve">, </w:t>
      </w:r>
      <w:r>
        <w:rPr>
          <w:szCs w:val="24"/>
        </w:rPr>
        <w:t>atstovaujamas (</w:t>
      </w:r>
      <w:r>
        <w:rPr>
          <w:i/>
          <w:szCs w:val="24"/>
        </w:rPr>
        <w:t>pareigos, vardas, pavardė, atstovavimo pagrindas</w:t>
      </w:r>
      <w:r>
        <w:rPr>
          <w:szCs w:val="24"/>
        </w:rPr>
        <w:t xml:space="preserve">), </w:t>
      </w:r>
      <w:r>
        <w:rPr>
          <w:bCs/>
          <w:szCs w:val="24"/>
        </w:rPr>
        <w:t xml:space="preserve">toliau kartu vadinami </w:t>
      </w:r>
      <w:r>
        <w:rPr>
          <w:szCs w:val="24"/>
        </w:rPr>
        <w:t>Šalimis</w:t>
      </w:r>
      <w:r>
        <w:rPr>
          <w:bCs/>
          <w:szCs w:val="24"/>
        </w:rPr>
        <w:t xml:space="preserve">, o kiekvienas atskirai – </w:t>
      </w:r>
      <w:r>
        <w:rPr>
          <w:szCs w:val="24"/>
        </w:rPr>
        <w:t>Šalimi, s</w:t>
      </w:r>
      <w:r>
        <w:rPr>
          <w:bCs/>
          <w:szCs w:val="24"/>
        </w:rPr>
        <w:t>udarė šį Susitarimą dėl a</w:t>
      </w:r>
      <w:r>
        <w:rPr>
          <w:szCs w:val="24"/>
        </w:rPr>
        <w:t>smens duomenų tvarkymo</w:t>
      </w:r>
      <w:r>
        <w:rPr>
          <w:bCs/>
          <w:szCs w:val="24"/>
        </w:rPr>
        <w:t>, toliau vadinamą –</w:t>
      </w:r>
      <w:r>
        <w:rPr>
          <w:szCs w:val="24"/>
        </w:rPr>
        <w:t>Susitarimu:</w:t>
      </w:r>
    </w:p>
    <w:p>
      <w:pPr>
        <w:pStyle w:val="Normal"/>
        <w:spacing w:lineRule="auto" w:line="240" w:before="0" w:after="0"/>
        <w:ind w:firstLine="851"/>
        <w:jc w:val="both"/>
        <w:rPr>
          <w:szCs w:val="24"/>
        </w:rPr>
      </w:pPr>
      <w:r>
        <w:rPr>
          <w:szCs w:val="24"/>
        </w:rPr>
      </w:r>
    </w:p>
    <w:p>
      <w:pPr>
        <w:pStyle w:val="Normal"/>
        <w:spacing w:lineRule="auto" w:line="240" w:before="0" w:after="0"/>
        <w:jc w:val="center"/>
        <w:rPr>
          <w:b/>
          <w:bCs/>
          <w:caps/>
          <w:szCs w:val="24"/>
        </w:rPr>
      </w:pPr>
      <w:r>
        <w:rPr>
          <w:b/>
          <w:bCs/>
          <w:caps/>
          <w:szCs w:val="24"/>
        </w:rPr>
        <w:t>I. BENDROSIOS NUOSTATOS</w:t>
      </w:r>
    </w:p>
    <w:p>
      <w:pPr>
        <w:pStyle w:val="Normal"/>
        <w:spacing w:lineRule="auto" w:line="240" w:before="0" w:after="0"/>
        <w:ind w:firstLine="851"/>
        <w:jc w:val="both"/>
        <w:rPr>
          <w:szCs w:val="24"/>
        </w:rPr>
      </w:pPr>
      <w:r>
        <w:rPr>
          <w:szCs w:val="24"/>
        </w:rPr>
      </w:r>
    </w:p>
    <w:p>
      <w:pPr>
        <w:pStyle w:val="Normal"/>
        <w:spacing w:before="0" w:after="0"/>
        <w:ind w:firstLine="1298"/>
        <w:jc w:val="both"/>
        <w:rPr>
          <w:szCs w:val="24"/>
        </w:rPr>
      </w:pPr>
      <w:r>
        <w:rPr>
          <w:bCs/>
          <w:szCs w:val="24"/>
        </w:rPr>
        <w:t xml:space="preserve">1. Šio Susitarimo nustatytomis sąlygomis </w:t>
      </w:r>
      <w:r>
        <w:rPr>
          <w:bCs/>
          <w:color w:themeColor="text1" w:val="000000"/>
          <w:szCs w:val="24"/>
        </w:rPr>
        <w:t xml:space="preserve">bei atsižvelgiant į Šalių įsipareigojimus, pareiškimus ir garantijas nustatytas šiame Susitarime, </w:t>
      </w:r>
      <w:r>
        <w:rPr>
          <w:bCs/>
          <w:szCs w:val="24"/>
        </w:rPr>
        <w:t xml:space="preserve">Duomenų valdytojas įgalioja Duomenų tvarkytoją tvarkyti asmens duomenis, </w:t>
      </w:r>
      <w:r>
        <w:rPr>
          <w:szCs w:val="24"/>
        </w:rPr>
        <w:t xml:space="preserve">2023 m. ____________________ Socialinių kortelių ir jų aptarnavimo paslaugos sutarties Nr. ______________ (toliau – Sutartis), pagrindu. </w:t>
      </w:r>
    </w:p>
    <w:p>
      <w:pPr>
        <w:pStyle w:val="Normal"/>
        <w:spacing w:before="0" w:after="0"/>
        <w:ind w:firstLine="1298"/>
        <w:jc w:val="both"/>
        <w:rPr>
          <w:szCs w:val="24"/>
        </w:rPr>
      </w:pPr>
      <w:r>
        <w:rPr>
          <w:bCs/>
          <w:szCs w:val="24"/>
        </w:rPr>
        <w:t xml:space="preserve">2. Šis Susitarimas yra taikomas visiems asmens duomenims, kuriuos Duomenų tvarkytojas tvarko </w:t>
      </w:r>
      <w:r>
        <w:rPr>
          <w:szCs w:val="24"/>
        </w:rPr>
        <w:t xml:space="preserve">remdamasis 2023 m. ____________________ Socialinių kortelių ir jų aptarnavimo paslaugos sutartimi Nr. ______________ (toliau – Sutartis), kuria vykdomos </w:t>
      </w:r>
      <w:r>
        <w:rPr>
          <w:bCs/>
          <w:szCs w:val="24"/>
        </w:rPr>
        <w:t>socialinių kortelių gaminimo, perdavimo, aptarnavimo ir  maisto produktų, pramoninių ir kitų prekių teikimo paslaugos (toliau – Paslaugos)</w:t>
      </w:r>
      <w:r>
        <w:rPr>
          <w:szCs w:val="24"/>
        </w:rPr>
        <w:t>.</w:t>
      </w:r>
    </w:p>
    <w:p>
      <w:pPr>
        <w:pStyle w:val="Normal"/>
        <w:spacing w:before="0" w:after="0"/>
        <w:ind w:firstLine="1298"/>
        <w:jc w:val="both"/>
        <w:rPr>
          <w:bCs/>
          <w:szCs w:val="24"/>
        </w:rPr>
      </w:pPr>
      <w:r>
        <w:rPr>
          <w:szCs w:val="24"/>
        </w:rPr>
        <w:t>3. Asmens duomenų tvarkymo tikslas pagal šį Susitarimą – socialinių išmokų, skirtų pagal Lietuvos Respublikos piniginės socialinės paramos nepasiturintiems gyventojams įstatymą ir Lietuvos Respublikos išmokų vaikams įstatymą pervedimas asmenims, patiriantiems socialinę riziką, ir prekių už pervestą sumą įsigijimas</w:t>
      </w:r>
      <w:r>
        <w:rPr>
          <w:bCs/>
          <w:szCs w:val="24"/>
        </w:rPr>
        <w:t xml:space="preserve">. </w:t>
      </w:r>
      <w:r>
        <w:rPr>
          <w:rFonts w:eastAsia="Times New Roman"/>
          <w:szCs w:val="24"/>
        </w:rPr>
        <w:t>Tvarkoma tiek asmens duomenų, kiek tai būtina Sutarties ir Duomenų tvarkytojui taikomų teisės aktų nustatytų reikalavimų įgyvendinimui</w:t>
      </w:r>
      <w:r>
        <w:rPr>
          <w:szCs w:val="24"/>
        </w:rPr>
        <w:t>.</w:t>
      </w:r>
    </w:p>
    <w:p>
      <w:pPr>
        <w:pStyle w:val="Normal"/>
        <w:spacing w:before="0" w:after="0"/>
        <w:ind w:firstLine="1298"/>
        <w:jc w:val="both"/>
        <w:rPr>
          <w:rFonts w:eastAsia="Times New Roman"/>
          <w:szCs w:val="24"/>
        </w:rPr>
      </w:pPr>
      <w:r>
        <w:rPr>
          <w:color w:val="000000"/>
          <w:szCs w:val="24"/>
        </w:rPr>
        <w:t>4. Duomenų subjektų kategorijos –Socialinių i</w:t>
      </w:r>
      <w:r>
        <w:rPr>
          <w:rFonts w:eastAsia="Times New Roman"/>
          <w:szCs w:val="24"/>
        </w:rPr>
        <w:t>šmokų gavėjai.</w:t>
      </w:r>
    </w:p>
    <w:p>
      <w:pPr>
        <w:pStyle w:val="Normal"/>
        <w:spacing w:before="0" w:after="0"/>
        <w:ind w:firstLine="1298"/>
        <w:jc w:val="both"/>
        <w:rPr>
          <w:rFonts w:eastAsia="Times New Roman"/>
          <w:iCs/>
          <w:szCs w:val="24"/>
        </w:rPr>
      </w:pPr>
      <w:r>
        <w:rPr>
          <w:color w:val="000000"/>
          <w:szCs w:val="24"/>
        </w:rPr>
        <w:t xml:space="preserve">5. Tvarkomų asmens duomenų kategorijos –socialinės išmokos gavėjo </w:t>
      </w:r>
      <w:r>
        <w:rPr>
          <w:rFonts w:eastAsia="Times New Roman"/>
          <w:iCs/>
          <w:szCs w:val="24"/>
        </w:rPr>
        <w:t>vardas ir pavardė, gimimo data, išmokos dydis, socialinės kortelės numeris.</w:t>
      </w:r>
    </w:p>
    <w:p>
      <w:pPr>
        <w:pStyle w:val="Normal"/>
        <w:spacing w:before="0" w:after="0"/>
        <w:ind w:firstLine="1298"/>
        <w:jc w:val="both"/>
        <w:rPr>
          <w:szCs w:val="24"/>
        </w:rPr>
      </w:pPr>
      <w:r>
        <w:rPr>
          <w:color w:val="000000"/>
          <w:szCs w:val="24"/>
        </w:rPr>
        <w:t xml:space="preserve">6. </w:t>
      </w:r>
      <w:r>
        <w:rPr>
          <w:szCs w:val="24"/>
        </w:rPr>
        <w:t>Vykdydamos Susitarimą Šalys vadovaujasi 2016 m. balandžio 27 d. Europos Parlamento ir Tarybos reglamentu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įstatymu ir kitais teisės aktais, reguliuojančiais asmens duomenų apsaugą.</w:t>
      </w:r>
    </w:p>
    <w:p>
      <w:pPr>
        <w:pStyle w:val="BodyText"/>
        <w:tabs>
          <w:tab w:val="clear" w:pos="1296"/>
          <w:tab w:val="left" w:pos="426" w:leader="none"/>
          <w:tab w:val="left" w:pos="993" w:leader="none"/>
        </w:tabs>
        <w:spacing w:before="0" w:after="0"/>
        <w:ind w:firstLine="1298"/>
        <w:jc w:val="both"/>
        <w:rPr>
          <w:rFonts w:ascii="Times New Roman" w:hAnsi="Times New Roman"/>
          <w:szCs w:val="24"/>
        </w:rPr>
      </w:pPr>
      <w:r>
        <w:rPr>
          <w:rFonts w:ascii="Times New Roman" w:hAnsi="Times New Roman"/>
          <w:szCs w:val="24"/>
        </w:rPr>
        <w:t>7. Susitarime vartojamos sąvokos atitinka sąvokas, vartojamas Reglamente (ES) 2016/679.</w:t>
      </w:r>
    </w:p>
    <w:p>
      <w:pPr>
        <w:pStyle w:val="BodyText"/>
        <w:tabs>
          <w:tab w:val="clear" w:pos="1296"/>
          <w:tab w:val="left" w:pos="426" w:leader="none"/>
          <w:tab w:val="left" w:pos="567" w:leader="none"/>
        </w:tabs>
        <w:spacing w:before="0" w:after="0"/>
        <w:ind w:firstLine="1298"/>
        <w:jc w:val="both"/>
        <w:rPr>
          <w:rFonts w:ascii="Times New Roman" w:hAnsi="Times New Roman"/>
          <w:szCs w:val="24"/>
        </w:rPr>
      </w:pPr>
      <w:r>
        <w:rPr>
          <w:rFonts w:ascii="Times New Roman" w:hAnsi="Times New Roman"/>
          <w:szCs w:val="24"/>
        </w:rPr>
        <w:t>8.  Pagal šį Susitarimą atliekami tvarkymo veiksmai – tai visi veiksmai arba veiksmų rinkinys būtini tinkamam asmens duomenų tvarkymui, siekiant įvykdyti Sutartimi prisiimtus įsipareigojimus. Duomenų tvarkytojas asmens duomenis tvarko S</w:t>
      </w:r>
      <w:r>
        <w:rPr>
          <w:rFonts w:eastAsia="Times New Roman" w:ascii="Times New Roman" w:hAnsi="Times New Roman"/>
          <w:szCs w:val="24"/>
        </w:rPr>
        <w:t>utarties galiojimo laikotarpiu.</w:t>
      </w:r>
    </w:p>
    <w:p>
      <w:pPr>
        <w:pStyle w:val="Normal"/>
        <w:spacing w:lineRule="auto" w:line="240" w:before="0" w:after="0"/>
        <w:contextualSpacing/>
        <w:rPr>
          <w:rFonts w:eastAsia="Times New Roman"/>
          <w:b/>
          <w:szCs w:val="24"/>
        </w:rPr>
      </w:pPr>
      <w:r>
        <w:rPr>
          <w:rFonts w:eastAsia="Times New Roman"/>
          <w:b/>
          <w:szCs w:val="24"/>
        </w:rPr>
      </w:r>
    </w:p>
    <w:p>
      <w:pPr>
        <w:pStyle w:val="Normal"/>
        <w:spacing w:lineRule="auto" w:line="240" w:before="0" w:after="0"/>
        <w:contextualSpacing/>
        <w:jc w:val="center"/>
        <w:rPr>
          <w:b/>
          <w:szCs w:val="24"/>
        </w:rPr>
      </w:pPr>
      <w:r>
        <w:rPr>
          <w:b/>
          <w:szCs w:val="24"/>
        </w:rPr>
        <w:t>II. DUOMENŲ VALDYTOJO TEISĖS IR  PAREIGOS</w:t>
      </w:r>
    </w:p>
    <w:p>
      <w:pPr>
        <w:pStyle w:val="Normal"/>
        <w:spacing w:lineRule="auto" w:line="240" w:before="0" w:after="0"/>
        <w:contextualSpacing/>
        <w:rPr>
          <w:rFonts w:eastAsia="Times New Roman"/>
          <w:b/>
          <w:szCs w:val="24"/>
        </w:rPr>
      </w:pPr>
      <w:r>
        <w:rPr>
          <w:rFonts w:eastAsia="Times New Roman"/>
          <w:b/>
          <w:szCs w:val="24"/>
        </w:rPr>
      </w:r>
    </w:p>
    <w:p>
      <w:pPr>
        <w:pStyle w:val="BodyText"/>
        <w:tabs>
          <w:tab w:val="clear" w:pos="1296"/>
          <w:tab w:val="left" w:pos="426" w:leader="none"/>
          <w:tab w:val="left" w:pos="900" w:leader="none"/>
        </w:tabs>
        <w:spacing w:before="0" w:after="0"/>
        <w:ind w:firstLine="1298"/>
        <w:jc w:val="both"/>
        <w:rPr>
          <w:rFonts w:ascii="Times New Roman" w:hAnsi="Times New Roman"/>
          <w:szCs w:val="24"/>
        </w:rPr>
      </w:pPr>
      <w:r>
        <w:rPr>
          <w:rFonts w:eastAsia="Times New Roman" w:ascii="Times New Roman" w:hAnsi="Times New Roman"/>
          <w:szCs w:val="24"/>
        </w:rPr>
        <w:t xml:space="preserve">9. </w:t>
      </w:r>
      <w:r>
        <w:rPr>
          <w:rFonts w:ascii="Times New Roman" w:hAnsi="Times New Roman"/>
          <w:szCs w:val="24"/>
        </w:rPr>
        <w:t>Duomenų valdytojo pareigas nustato Reglamentas (ES) 2016/679, Lietuvos Respublikos asmens duomenų teisinės apsaugos įstatymas, Sutartis, vidiniai duomenų valdytojo teisės aktai.</w:t>
      </w:r>
    </w:p>
    <w:p>
      <w:pPr>
        <w:pStyle w:val="BodyText"/>
        <w:tabs>
          <w:tab w:val="clear" w:pos="1296"/>
          <w:tab w:val="left" w:pos="0" w:leader="none"/>
        </w:tabs>
        <w:spacing w:before="0" w:after="0"/>
        <w:ind w:firstLine="1298"/>
        <w:jc w:val="both"/>
        <w:rPr>
          <w:rFonts w:ascii="Times New Roman" w:hAnsi="Times New Roman"/>
          <w:szCs w:val="24"/>
        </w:rPr>
      </w:pPr>
      <w:r>
        <w:rPr>
          <w:rFonts w:ascii="Times New Roman" w:hAnsi="Times New Roman"/>
          <w:szCs w:val="24"/>
        </w:rPr>
        <w:t>10. Duomenų valdytojas privalo užtikrinti, kad asmens duomenys būtų tvarkomi laikantis Reglamento (ES) 2016/679 (žr. Reglamento (ES) 2016/679 24 str.), Lietuvos Respublikos asmens duomenų teisinės apsaugos įstatymo, Sutarties ir šio Susitarimo.</w:t>
      </w:r>
    </w:p>
    <w:p>
      <w:pPr>
        <w:pStyle w:val="BodyText"/>
        <w:tabs>
          <w:tab w:val="clear" w:pos="1296"/>
          <w:tab w:val="left" w:pos="426" w:leader="none"/>
        </w:tabs>
        <w:spacing w:before="0" w:after="0"/>
        <w:ind w:firstLine="1298"/>
        <w:jc w:val="both"/>
        <w:rPr>
          <w:rFonts w:ascii="Times New Roman" w:hAnsi="Times New Roman"/>
          <w:szCs w:val="24"/>
        </w:rPr>
      </w:pPr>
      <w:r>
        <w:rPr>
          <w:rFonts w:eastAsia="Times New Roman" w:ascii="Times New Roman" w:hAnsi="Times New Roman"/>
          <w:szCs w:val="24"/>
        </w:rPr>
        <w:t xml:space="preserve">11. Duomenų valdytojas užtikrina, kad visi fiziniai asmenys bus tinkamai informuoti apie tai, kad jų asmens duomenys (vardas, pavardė, gimimo data ir kt.) gali būti perduoti Duomenų tvarkytojui ir gali būti jo tvarkomi Sutarties ir (arba) bet kokio susitarimo dėl paslaugų teikimo vykdymo tikslu ir nesuderinamai su šiuo tikslu toliau netvarkomi. Minėti asmenys turi būti informuoti iki jų asmens duomenų perdavimo Duomenų tvarkytojui momento. Pateikiama informacija turėtų, be kita ko, apimti asmens duomenų tvarkymo tikslus, teisinį pagrindą, saugojimo laikotarpį ir turimas teises (pagal </w:t>
      </w:r>
      <w:r>
        <w:rPr>
          <w:rFonts w:ascii="Times New Roman" w:hAnsi="Times New Roman"/>
          <w:szCs w:val="24"/>
        </w:rPr>
        <w:t xml:space="preserve">Reglamento (ES) 2016/679 </w:t>
      </w:r>
      <w:r>
        <w:rPr>
          <w:rFonts w:eastAsia="Times New Roman" w:ascii="Times New Roman" w:hAnsi="Times New Roman"/>
          <w:szCs w:val="24"/>
        </w:rPr>
        <w:t xml:space="preserve"> 13 str. reikalavimus).</w:t>
      </w:r>
    </w:p>
    <w:p>
      <w:pPr>
        <w:pStyle w:val="BodyText"/>
        <w:tabs>
          <w:tab w:val="clear" w:pos="1296"/>
          <w:tab w:val="left" w:pos="426" w:leader="none"/>
        </w:tabs>
        <w:spacing w:before="0" w:after="0"/>
        <w:ind w:firstLine="1298"/>
        <w:jc w:val="both"/>
        <w:rPr>
          <w:rFonts w:ascii="Times New Roman" w:hAnsi="Times New Roman"/>
          <w:szCs w:val="24"/>
        </w:rPr>
      </w:pPr>
      <w:r>
        <w:rPr>
          <w:rFonts w:ascii="Times New Roman" w:hAnsi="Times New Roman"/>
          <w:szCs w:val="24"/>
        </w:rPr>
        <w:t>12.  Duomenų valdytojas be kita ko yra atsakingas užtikrinti, kad asmens duomenų tvarkymas, dėl kurio jis duomenų tvarkytojui duoda nurodymus, yra teisėtas, neprieštaraujantis teisės aktams.</w:t>
      </w:r>
    </w:p>
    <w:p>
      <w:pPr>
        <w:pStyle w:val="BodyText"/>
        <w:tabs>
          <w:tab w:val="clear" w:pos="1296"/>
          <w:tab w:val="left" w:pos="0" w:leader="none"/>
        </w:tabs>
        <w:spacing w:before="0" w:after="0"/>
        <w:ind w:firstLine="1298"/>
        <w:jc w:val="both"/>
        <w:rPr>
          <w:rFonts w:ascii="Times New Roman" w:hAnsi="Times New Roman"/>
          <w:szCs w:val="24"/>
        </w:rPr>
      </w:pPr>
      <w:r>
        <w:rPr>
          <w:rFonts w:ascii="Times New Roman" w:hAnsi="Times New Roman"/>
          <w:szCs w:val="24"/>
        </w:rPr>
        <w:t>13. Duomenų valdytojas duomenų subjekto teises įgyvendina vadovaudamasis Reglamento (ES) 2016/679 6 straipsnio, 1 dalies e) punktu - t</w:t>
      </w:r>
      <w:r>
        <w:rPr>
          <w:rFonts w:eastAsia="Times New Roman" w:ascii="Times New Roman" w:hAnsi="Times New Roman"/>
          <w:color w:val="000000"/>
          <w:szCs w:val="24"/>
          <w:lang w:val="en-US"/>
        </w:rPr>
        <w:t>varkyti duomenis būtina siekiant atlikti užduotį, vykdomą viešojo intereso labui arba vykdant duomenų valdytojui pavestas viešosios valdžios funkcijas;</w:t>
      </w:r>
    </w:p>
    <w:p>
      <w:pPr>
        <w:pStyle w:val="BodyText"/>
        <w:tabs>
          <w:tab w:val="clear" w:pos="1296"/>
          <w:tab w:val="left" w:pos="0" w:leader="none"/>
        </w:tabs>
        <w:spacing w:before="0" w:after="0"/>
        <w:ind w:firstLine="1298"/>
        <w:jc w:val="both"/>
        <w:rPr>
          <w:rFonts w:ascii="Times New Roman" w:hAnsi="Times New Roman"/>
          <w:szCs w:val="24"/>
        </w:rPr>
      </w:pPr>
      <w:r>
        <w:rPr>
          <w:rFonts w:ascii="Times New Roman" w:hAnsi="Times New Roman"/>
          <w:szCs w:val="24"/>
        </w:rPr>
        <w:t>14. Duomenų valdytojo teisės:</w:t>
      </w:r>
    </w:p>
    <w:p>
      <w:pPr>
        <w:pStyle w:val="BodyText"/>
        <w:tabs>
          <w:tab w:val="clear" w:pos="1296"/>
          <w:tab w:val="left" w:pos="993" w:leader="none"/>
        </w:tabs>
        <w:spacing w:before="0" w:after="0"/>
        <w:ind w:firstLine="1298"/>
        <w:jc w:val="both"/>
        <w:rPr>
          <w:rFonts w:ascii="Times New Roman" w:hAnsi="Times New Roman"/>
          <w:szCs w:val="24"/>
        </w:rPr>
      </w:pPr>
      <w:r>
        <w:rPr>
          <w:rFonts w:ascii="Times New Roman" w:hAnsi="Times New Roman"/>
          <w:szCs w:val="24"/>
        </w:rPr>
        <w:t>14.1. Duomenų tvarkytojui bet kuriuo metu duoti privalomus papildomus rašytinius nurodymus dėl asmens duomenų tvarkymo, duomenų subjektų teisių įgyvendinimo;</w:t>
      </w:r>
    </w:p>
    <w:p>
      <w:pPr>
        <w:pStyle w:val="BodyText"/>
        <w:tabs>
          <w:tab w:val="clear" w:pos="1296"/>
          <w:tab w:val="left" w:pos="993" w:leader="none"/>
        </w:tabs>
        <w:spacing w:before="0" w:after="0"/>
        <w:ind w:firstLine="1298"/>
        <w:jc w:val="both"/>
        <w:rPr>
          <w:rFonts w:ascii="Times New Roman" w:hAnsi="Times New Roman"/>
          <w:szCs w:val="24"/>
        </w:rPr>
      </w:pPr>
      <w:r>
        <w:rPr>
          <w:rFonts w:ascii="Times New Roman" w:hAnsi="Times New Roman"/>
          <w:szCs w:val="24"/>
        </w:rPr>
        <w:t>14.2. gauti iš Duomenų tvarkytojo informaciją, dokumentus ir paaiškinimus apie asmens duomenų tvarkymą;</w:t>
      </w:r>
    </w:p>
    <w:p>
      <w:pPr>
        <w:pStyle w:val="BodyText"/>
        <w:tabs>
          <w:tab w:val="clear" w:pos="1296"/>
          <w:tab w:val="left" w:pos="993" w:leader="none"/>
        </w:tabs>
        <w:spacing w:before="0" w:after="0"/>
        <w:ind w:firstLine="1298"/>
        <w:jc w:val="both"/>
        <w:rPr>
          <w:rFonts w:ascii="Times New Roman" w:hAnsi="Times New Roman"/>
          <w:szCs w:val="24"/>
        </w:rPr>
      </w:pPr>
      <w:r>
        <w:rPr>
          <w:rFonts w:ascii="Times New Roman" w:hAnsi="Times New Roman"/>
          <w:szCs w:val="24"/>
        </w:rPr>
        <w:t>14.3. reikalauti, kad Duomenų tvarkytojas ištaisytų dėl jo veiksmų atsiradusius klaidingus arba netikslius duomenis;</w:t>
      </w:r>
    </w:p>
    <w:p>
      <w:pPr>
        <w:pStyle w:val="BodyText"/>
        <w:tabs>
          <w:tab w:val="clear" w:pos="1296"/>
          <w:tab w:val="left" w:pos="993" w:leader="none"/>
        </w:tabs>
        <w:spacing w:before="0" w:after="0"/>
        <w:ind w:firstLine="1298"/>
        <w:jc w:val="both"/>
        <w:rPr>
          <w:rFonts w:ascii="Times New Roman" w:hAnsi="Times New Roman"/>
          <w:szCs w:val="24"/>
        </w:rPr>
      </w:pPr>
      <w:r>
        <w:rPr>
          <w:rFonts w:ascii="Times New Roman" w:hAnsi="Times New Roman"/>
          <w:szCs w:val="24"/>
        </w:rPr>
        <w:t>14.4. reikalauti nutraukti, sustabdyti asmens duomenų tvarkymo veiksmus, sunaikinti asmens duomenis;</w:t>
      </w:r>
    </w:p>
    <w:p>
      <w:pPr>
        <w:pStyle w:val="BodyText"/>
        <w:tabs>
          <w:tab w:val="clear" w:pos="1296"/>
          <w:tab w:val="left" w:pos="993" w:leader="none"/>
        </w:tabs>
        <w:spacing w:before="0" w:after="0"/>
        <w:ind w:firstLine="1298"/>
        <w:jc w:val="both"/>
        <w:rPr>
          <w:rFonts w:ascii="Times New Roman" w:hAnsi="Times New Roman"/>
          <w:szCs w:val="24"/>
        </w:rPr>
      </w:pPr>
      <w:r>
        <w:rPr>
          <w:rFonts w:ascii="Times New Roman" w:hAnsi="Times New Roman"/>
          <w:szCs w:val="24"/>
        </w:rPr>
        <w:t>14.5. atlikti auditą, įskaitant patikrinimus;</w:t>
      </w:r>
    </w:p>
    <w:p>
      <w:pPr>
        <w:pStyle w:val="BodyText"/>
        <w:tabs>
          <w:tab w:val="clear" w:pos="1296"/>
          <w:tab w:val="left" w:pos="993" w:leader="none"/>
        </w:tabs>
        <w:spacing w:before="0" w:after="0"/>
        <w:ind w:firstLine="1298"/>
        <w:jc w:val="both"/>
        <w:rPr>
          <w:rFonts w:ascii="Times New Roman" w:hAnsi="Times New Roman"/>
          <w:szCs w:val="24"/>
        </w:rPr>
      </w:pPr>
      <w:r>
        <w:rPr>
          <w:rFonts w:ascii="Times New Roman" w:hAnsi="Times New Roman"/>
          <w:szCs w:val="24"/>
        </w:rPr>
        <w:t>14.6. kitos pagal Reglamentą (ES) 2016/679 kylančios duomenų valdytojo teisės.</w:t>
      </w:r>
    </w:p>
    <w:p>
      <w:pPr>
        <w:pStyle w:val="Normal"/>
        <w:spacing w:lineRule="auto" w:line="240" w:before="0" w:after="0"/>
        <w:contextualSpacing/>
        <w:rPr>
          <w:rFonts w:eastAsia="Times New Roman"/>
          <w:szCs w:val="24"/>
        </w:rPr>
      </w:pPr>
      <w:r>
        <w:rPr>
          <w:rFonts w:eastAsia="Times New Roman"/>
          <w:szCs w:val="24"/>
        </w:rPr>
      </w:r>
    </w:p>
    <w:p>
      <w:pPr>
        <w:pStyle w:val="Normal"/>
        <w:tabs>
          <w:tab w:val="clear" w:pos="1296"/>
          <w:tab w:val="left" w:pos="426" w:leader="none"/>
        </w:tabs>
        <w:spacing w:lineRule="auto" w:line="240" w:before="0" w:after="0"/>
        <w:jc w:val="center"/>
        <w:rPr>
          <w:b/>
          <w:bCs/>
          <w:caps/>
          <w:szCs w:val="24"/>
        </w:rPr>
      </w:pPr>
      <w:r>
        <w:rPr>
          <w:b/>
          <w:bCs/>
          <w:caps/>
          <w:szCs w:val="24"/>
        </w:rPr>
        <w:t>III. Duomenų tvarkytojo teisės ir pareigos</w:t>
        <w:br/>
      </w:r>
    </w:p>
    <w:p>
      <w:pPr>
        <w:pStyle w:val="Normal"/>
        <w:spacing w:before="0" w:after="0"/>
        <w:ind w:firstLine="1298"/>
        <w:contextualSpacing/>
        <w:jc w:val="both"/>
        <w:rPr>
          <w:szCs w:val="24"/>
        </w:rPr>
      </w:pPr>
      <w:r>
        <w:rPr>
          <w:szCs w:val="24"/>
        </w:rPr>
        <w:t>15. Duomenų tvarkytojas turi teisę gauti iš Duomenų valdytojo informaciją, dokumentus ir paaiškinimus apie duomenų tvarkymą.</w:t>
      </w:r>
    </w:p>
    <w:p>
      <w:pPr>
        <w:pStyle w:val="Normal"/>
        <w:spacing w:before="0" w:after="0"/>
        <w:ind w:firstLine="1298"/>
        <w:contextualSpacing/>
        <w:jc w:val="both"/>
        <w:rPr>
          <w:szCs w:val="24"/>
        </w:rPr>
      </w:pPr>
      <w:r>
        <w:rPr>
          <w:szCs w:val="24"/>
        </w:rPr>
        <w:t xml:space="preserve">16. Duomenų tvarkytojo pareigos: </w:t>
      </w:r>
    </w:p>
    <w:p>
      <w:pPr>
        <w:pStyle w:val="BodyText"/>
        <w:tabs>
          <w:tab w:val="clear" w:pos="1296"/>
          <w:tab w:val="left" w:pos="993" w:leader="none"/>
        </w:tabs>
        <w:spacing w:before="0" w:after="0"/>
        <w:ind w:firstLine="1298"/>
        <w:jc w:val="both"/>
        <w:rPr>
          <w:rFonts w:ascii="Times New Roman" w:hAnsi="Times New Roman"/>
          <w:szCs w:val="24"/>
        </w:rPr>
      </w:pPr>
      <w:r>
        <w:rPr>
          <w:rFonts w:ascii="Times New Roman" w:hAnsi="Times New Roman"/>
          <w:szCs w:val="24"/>
          <w:lang w:val="sv-SE" w:eastAsia="sv-SE"/>
        </w:rPr>
        <w:t xml:space="preserve">16.1. </w:t>
      </w:r>
      <w:r>
        <w:rPr>
          <w:rFonts w:ascii="Times New Roman" w:hAnsi="Times New Roman"/>
          <w:szCs w:val="24"/>
        </w:rPr>
        <w:t>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duomenų tvarkytojo veiklą tvarkant asmens duomenis, Duomenų tvarkytojas prieš pradėdamas tvarkyti duomenis arba Sutarties pasirašymo metu raštu praneša apie tokį teisinį reglamentavimą duomenų valdytojui, išskyrus atvejus, kai pagal tuos teisės aktus toks pranešimas yra draudžiamas dėl svarbių viešojo intereso priežasčių;</w:t>
      </w:r>
    </w:p>
    <w:p>
      <w:pPr>
        <w:pStyle w:val="BodyText"/>
        <w:tabs>
          <w:tab w:val="clear" w:pos="1296"/>
          <w:tab w:val="left" w:pos="993" w:leader="none"/>
        </w:tabs>
        <w:spacing w:before="0" w:after="0"/>
        <w:ind w:firstLine="1298"/>
        <w:jc w:val="both"/>
        <w:rPr>
          <w:rFonts w:ascii="Times New Roman" w:hAnsi="Times New Roman"/>
          <w:szCs w:val="24"/>
        </w:rPr>
      </w:pPr>
      <w:r>
        <w:rPr>
          <w:rFonts w:ascii="Times New Roman" w:hAnsi="Times New Roman"/>
          <w:szCs w:val="24"/>
        </w:rPr>
        <w:t>16.2. nedelsiant raštu informuoti Duomenų valdytoją, jei, jo nuomone, Duomenų valdytojo nurodymas pažeidžia Reglamentą (ES) 2016/679 ar kitus teisės aktus. Tokiu atveju Duomenų valdytojas pakeičia savo nurodymus arba raštu motyvuotai atsako Duomenų tvarkytojui, kodėl tai nėra daroma;</w:t>
      </w:r>
    </w:p>
    <w:p>
      <w:pPr>
        <w:pStyle w:val="BodyText"/>
        <w:tabs>
          <w:tab w:val="clear" w:pos="1296"/>
          <w:tab w:val="left" w:pos="993" w:leader="none"/>
        </w:tabs>
        <w:spacing w:before="0" w:after="0"/>
        <w:ind w:firstLine="1298"/>
        <w:jc w:val="both"/>
        <w:rPr>
          <w:rFonts w:ascii="Times New Roman" w:hAnsi="Times New Roman"/>
          <w:szCs w:val="24"/>
        </w:rPr>
      </w:pPr>
      <w:r>
        <w:rPr>
          <w:rFonts w:ascii="Times New Roman" w:hAnsi="Times New Roman"/>
          <w:szCs w:val="24"/>
        </w:rPr>
        <w:t>16.3. asmens duomenys į ne Europos Sąjungos ir Europos ekonominės erdvės valstybes arba tarptautinėms organizacijoms gali būti perduodami tik išimtiniais atvejais, gavus konkretų Duomenų valdytojo rašytinį leidimą ir laikantis Reglamento (ES) 2016/679 V skyriuje numatytų reikalavimų;</w:t>
      </w:r>
    </w:p>
    <w:p>
      <w:pPr>
        <w:pStyle w:val="BodyText"/>
        <w:tabs>
          <w:tab w:val="clear" w:pos="1296"/>
          <w:tab w:val="left" w:pos="993" w:leader="none"/>
        </w:tabs>
        <w:spacing w:before="0" w:after="0"/>
        <w:ind w:firstLine="1298"/>
        <w:jc w:val="both"/>
        <w:rPr/>
      </w:pPr>
      <w:r>
        <w:rPr>
          <w:rFonts w:ascii="Times New Roman" w:hAnsi="Times New Roman"/>
          <w:szCs w:val="24"/>
        </w:rPr>
        <w:t>16.4. įgyvendinti tinkamas technines ir organizacines priemones, užtikrinančias, kad Duomenų tvarkytojo pagal Susitarimo nuostatas vykdomas asmens duomenų tvarkymas atitiktų asmens duomenų apsaugos teisės aktų reikalavimus bei Duomenų valdytojo nurodymus dėl tvarkomų asmens duomenų saugumo;</w:t>
      </w:r>
    </w:p>
    <w:p>
      <w:pPr>
        <w:pStyle w:val="Normal"/>
        <w:spacing w:before="0" w:after="0"/>
        <w:ind w:firstLine="1298"/>
        <w:contextualSpacing/>
        <w:jc w:val="both"/>
        <w:rPr>
          <w:szCs w:val="24"/>
        </w:rPr>
      </w:pPr>
      <w:r>
        <w:rPr>
          <w:szCs w:val="24"/>
        </w:rPr>
        <w:t>16.5. Duomenų tvarkytojas turi užtikrinti pakankamą asmens duomenų saugumo lygį: apsaugoti asmens duomenis nuo sunaikinimo, pakeitimo, neteisėto atskleidimo ar neteisėtos prieigos, o taip pat nuo visų kitų neteisėtų asmens duomenų tvarkymo būdų. Duomenų tvarkytojas taiko šias priemones:</w:t>
      </w:r>
    </w:p>
    <w:p>
      <w:pPr>
        <w:pStyle w:val="Normal"/>
        <w:spacing w:before="0" w:after="0"/>
        <w:ind w:firstLine="1298"/>
        <w:jc w:val="both"/>
        <w:rPr>
          <w:szCs w:val="24"/>
          <w:lang w:eastAsia="sv-SE"/>
        </w:rPr>
      </w:pPr>
      <w:r>
        <w:rPr>
          <w:szCs w:val="24"/>
        </w:rPr>
        <w:t>16.5.1. fizinės prieigos apsaugą: patalpos, su kompiuterine įranga ir asmenine informacija, turi būti laikomos užrakintos, siekiant apsaugoti asmens duomenis nuo neteisėto naudojimo, poveikio ar vagystės</w:t>
      </w:r>
      <w:r>
        <w:rPr>
          <w:szCs w:val="24"/>
          <w:lang w:eastAsia="sv-SE"/>
        </w:rPr>
        <w:t>;</w:t>
      </w:r>
    </w:p>
    <w:p>
      <w:pPr>
        <w:pStyle w:val="Normal"/>
        <w:spacing w:before="0" w:after="0"/>
        <w:ind w:firstLine="1298"/>
        <w:jc w:val="both"/>
        <w:rPr>
          <w:szCs w:val="24"/>
          <w:lang w:eastAsia="sv-SE"/>
        </w:rPr>
      </w:pPr>
      <w:r>
        <w:rPr>
          <w:szCs w:val="24"/>
        </w:rPr>
        <w:t>16.5.2. duomenų atkūrimo procesą: atkurti prarastus ar sugadintus asmens duomenis iš atsarginių kopijų</w:t>
      </w:r>
      <w:r>
        <w:rPr>
          <w:szCs w:val="24"/>
          <w:lang w:eastAsia="sv-SE"/>
        </w:rPr>
        <w:t>;</w:t>
      </w:r>
    </w:p>
    <w:p>
      <w:pPr>
        <w:pStyle w:val="Normal"/>
        <w:spacing w:before="0" w:after="0"/>
        <w:ind w:firstLine="1298"/>
        <w:jc w:val="both"/>
        <w:rPr>
          <w:szCs w:val="24"/>
          <w:lang w:eastAsia="sv-SE"/>
        </w:rPr>
      </w:pPr>
      <w:r>
        <w:rPr>
          <w:szCs w:val="24"/>
        </w:rPr>
        <w:t>16.5.3. leidimų kontrolę: prieiga prie asmens duomenų galima per techninę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pPr>
        <w:pStyle w:val="Normal"/>
        <w:spacing w:before="0" w:after="0"/>
        <w:ind w:firstLine="1298"/>
        <w:jc w:val="both"/>
        <w:rPr>
          <w:szCs w:val="24"/>
          <w:lang w:eastAsia="sv-SE"/>
        </w:rPr>
      </w:pPr>
      <w:r>
        <w:rPr>
          <w:szCs w:val="24"/>
        </w:rPr>
        <w:t>16.5.4</w:t>
      </w:r>
      <w:r>
        <w:rPr>
          <w:color w:val="FF0000"/>
          <w:szCs w:val="24"/>
        </w:rPr>
        <w:t xml:space="preserve">. </w:t>
      </w:r>
      <w:r>
        <w:rPr>
          <w:szCs w:val="24"/>
        </w:rPr>
        <w:t>galimybę registruoti duomenų bazėse tvarkomų asmens duomenų rašymo, keitimo ir ištrynimo veiksmus: turi būti sudarytos sąlygos retrospektyviai peržiūrėti šių asmens duomenų tvarkymo operacijų sąrašą</w:t>
      </w:r>
      <w:r>
        <w:rPr>
          <w:szCs w:val="24"/>
          <w:lang w:eastAsia="sv-SE"/>
        </w:rPr>
        <w:t>;</w:t>
      </w:r>
    </w:p>
    <w:p>
      <w:pPr>
        <w:pStyle w:val="Normal"/>
        <w:spacing w:before="0" w:after="0"/>
        <w:ind w:firstLine="1298"/>
        <w:jc w:val="both"/>
        <w:rPr>
          <w:szCs w:val="24"/>
          <w:lang w:eastAsia="sv-SE"/>
        </w:rPr>
      </w:pPr>
      <w:r>
        <w:rPr>
          <w:szCs w:val="24"/>
        </w:rPr>
        <w:t>16.5.5. 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Pr>
          <w:szCs w:val="24"/>
          <w:lang w:eastAsia="sv-SE"/>
        </w:rPr>
        <w:t>;</w:t>
      </w:r>
    </w:p>
    <w:p>
      <w:pPr>
        <w:pStyle w:val="Normal"/>
        <w:spacing w:before="0" w:after="0"/>
        <w:ind w:firstLine="1298"/>
        <w:jc w:val="both"/>
        <w:rPr>
          <w:szCs w:val="24"/>
          <w:lang w:eastAsia="sv-SE"/>
        </w:rPr>
      </w:pPr>
      <w:r>
        <w:rPr>
          <w:szCs w:val="24"/>
        </w:rPr>
        <w:t>16.5.6. procesus, skirtus saugiam asmens duomenų naikinimui užtikrinti, kai fiksuotos arba keičiamos laikmenos nebenaudojamos pagal paskirtį</w:t>
      </w:r>
      <w:r>
        <w:rPr>
          <w:szCs w:val="24"/>
          <w:lang w:eastAsia="sv-SE"/>
        </w:rPr>
        <w:t>;</w:t>
      </w:r>
    </w:p>
    <w:p>
      <w:pPr>
        <w:pStyle w:val="Normal"/>
        <w:spacing w:before="0" w:after="0"/>
        <w:ind w:firstLine="1298"/>
        <w:jc w:val="both"/>
        <w:rPr>
          <w:szCs w:val="24"/>
          <w:lang w:eastAsia="sv-SE"/>
        </w:rPr>
      </w:pPr>
      <w:r>
        <w:rPr>
          <w:szCs w:val="24"/>
        </w:rPr>
        <w:t>16.5.7. paslaugų teikėjų ir kitų trečiųjų asmenų priežiūrą Duomenų tvarkytojo patalpose. Laikmena, kurioje yra asmens duomenys turi būti pašalinama iš patalpų, jei priežiūra neįmanoma.</w:t>
      </w:r>
    </w:p>
    <w:p>
      <w:pPr>
        <w:pStyle w:val="BodyText"/>
        <w:tabs>
          <w:tab w:val="clear" w:pos="1296"/>
          <w:tab w:val="left" w:pos="1134" w:leader="none"/>
        </w:tabs>
        <w:spacing w:before="0" w:after="0"/>
        <w:ind w:firstLine="1298"/>
        <w:jc w:val="both"/>
        <w:rPr>
          <w:rFonts w:ascii="Times New Roman" w:hAnsi="Times New Roman"/>
          <w:szCs w:val="24"/>
        </w:rPr>
      </w:pPr>
      <w:r>
        <w:rPr>
          <w:rFonts w:ascii="Times New Roman" w:hAnsi="Times New Roman"/>
          <w:szCs w:val="24"/>
        </w:rPr>
        <w:t>16.6. informuoti Duomenų valdytoją, jei kyla rizika dėl Duomenų tvarkytojui perduotos asmens duomenų tvarkymo veiklos neatitikties Reglamentui (ES) 2016/679 ir kitiems teisės aktų reikalavimas;</w:t>
      </w:r>
    </w:p>
    <w:p>
      <w:pPr>
        <w:pStyle w:val="BodyText"/>
        <w:tabs>
          <w:tab w:val="clear" w:pos="1296"/>
          <w:tab w:val="left" w:pos="1134" w:leader="none"/>
        </w:tabs>
        <w:spacing w:before="0" w:after="0"/>
        <w:ind w:firstLine="1298"/>
        <w:jc w:val="both"/>
        <w:rPr>
          <w:rFonts w:ascii="Times New Roman" w:hAnsi="Times New Roman"/>
          <w:szCs w:val="24"/>
        </w:rPr>
      </w:pPr>
      <w:r>
        <w:rPr>
          <w:rFonts w:ascii="Times New Roman" w:hAnsi="Times New Roman"/>
          <w:szCs w:val="24"/>
        </w:rPr>
        <w:t xml:space="preserve">16.7. Duomenų valdytojui pareikalavus nedelsiant sustabdyti asmens duomenų tvarkymo veiksmus, sunaikinti nurodytus asmens duomenis (įskaitant visas jų kopijas). Duomenų tvarkytojas minėtą nurodymą įvykdo ne vėliau, kaip per 5 darbo dienas, nuo tokio nurodymo gavimo dienos. Duomenų valdytojo nurodymas sustabdyti asmens duomenų tvarkymo veiksmus ar sunaikinti nurodytus asmens duomenis Duomenų tvarkytojui turi būti motyvuotas ir pagrįstas. Jei asmens duomenų tvarkymo veiksmai yra sustabdomi, jie vėl gali būti vykdomi tik Duomenų valdytojui davus atskirą nurodymą atnaujinti sustabdytus asmens duomenų tvarkymo veiksmus. </w:t>
      </w:r>
    </w:p>
    <w:p>
      <w:pPr>
        <w:pStyle w:val="BodyText"/>
        <w:tabs>
          <w:tab w:val="clear" w:pos="1296"/>
          <w:tab w:val="left" w:pos="1134" w:leader="none"/>
        </w:tabs>
        <w:spacing w:before="0" w:after="0"/>
        <w:ind w:firstLine="1298"/>
        <w:jc w:val="both"/>
        <w:rPr/>
      </w:pPr>
      <w:r>
        <w:rPr>
          <w:rFonts w:ascii="Times New Roman" w:hAnsi="Times New Roman"/>
          <w:szCs w:val="24"/>
        </w:rPr>
        <w:t>16.8. Duomenų v</w:t>
      </w:r>
      <w:r>
        <w:rPr>
          <w:rFonts w:ascii="Times New Roman" w:hAnsi="Times New Roman"/>
          <w:szCs w:val="24"/>
          <w:lang w:eastAsia="sv-SE"/>
        </w:rPr>
        <w:t xml:space="preserve">aldytojo prašymu, imtis protingų priemonių nutraukti duomenų tvarkymą po Sutarties pasibaigimo. </w:t>
      </w:r>
      <w:r>
        <w:rPr>
          <w:rFonts w:ascii="Times New Roman" w:hAnsi="Times New Roman"/>
          <w:szCs w:val="24"/>
        </w:rPr>
        <w:t>Duomenų valdytojo prašymu Duomenų tvarkytojas raštiškai informuoja Duomenų valdytoją apie priemones, kurių buvo imtasi vykdant Duomenų valdytojo prašymą nutraukti duomenų tvarkymą;</w:t>
      </w:r>
    </w:p>
    <w:p>
      <w:pPr>
        <w:pStyle w:val="BodyText"/>
        <w:tabs>
          <w:tab w:val="clear" w:pos="1296"/>
          <w:tab w:val="left" w:pos="1134" w:leader="none"/>
        </w:tabs>
        <w:spacing w:before="0" w:after="0"/>
        <w:ind w:firstLine="1298"/>
        <w:jc w:val="both"/>
        <w:rPr/>
      </w:pPr>
      <w:r>
        <w:rPr>
          <w:rFonts w:ascii="Times New Roman" w:hAnsi="Times New Roman"/>
          <w:szCs w:val="24"/>
        </w:rPr>
        <w:t xml:space="preserve">16.9. </w:t>
      </w:r>
      <w:r>
        <w:rPr>
          <w:rFonts w:eastAsia="Times New Roman" w:ascii="Times New Roman" w:hAnsi="Times New Roman"/>
          <w:szCs w:val="24"/>
        </w:rPr>
        <w:t>imtis visų protingai prieinamų priemonių užtikrinti darbuotojų ar kitų pasitelkiamų subjektų, turinčių prieigą prie Duomenų valdytojo valdomų asmens duomenų, patikimumą. Duomenų tvarkytojas užtikrina, kad Duomenų v</w:t>
      </w:r>
      <w:r>
        <w:rPr>
          <w:rFonts w:ascii="Times New Roman" w:hAnsi="Times New Roman"/>
          <w:szCs w:val="24"/>
        </w:rPr>
        <w:t>aldytojo patikėtus asmens duomenis tvarkyti įgalioti asmenys būtų įsipareigoję užtikrinti konfidencialumą arba jiems būtų taikoma atitinkama įstatais nustatyta konfidencialumo prievolė;</w:t>
      </w:r>
    </w:p>
    <w:p>
      <w:pPr>
        <w:pStyle w:val="BodyText"/>
        <w:tabs>
          <w:tab w:val="clear" w:pos="1296"/>
          <w:tab w:val="left" w:pos="1134" w:leader="none"/>
        </w:tabs>
        <w:spacing w:before="0" w:after="0"/>
        <w:ind w:firstLine="1298"/>
        <w:jc w:val="both"/>
        <w:rPr>
          <w:rFonts w:ascii="Times New Roman" w:hAnsi="Times New Roman"/>
          <w:szCs w:val="24"/>
        </w:rPr>
      </w:pPr>
      <w:r>
        <w:rPr>
          <w:rFonts w:ascii="Times New Roman" w:hAnsi="Times New Roman"/>
          <w:szCs w:val="24"/>
        </w:rPr>
        <w:t>16.10. padėti Duomenų valdytojui įgyvendinti pareigą užtikrinti tinkamų organizacinių ir techninių asmens duomenų saugumo priemonių įgyvendinimą, kaip tai numatyta Reglamento (ES) 2016/679 32 straipsnyje;</w:t>
      </w:r>
    </w:p>
    <w:p>
      <w:pPr>
        <w:pStyle w:val="BodyText"/>
        <w:tabs>
          <w:tab w:val="clear" w:pos="1296"/>
          <w:tab w:val="left" w:pos="1134" w:leader="none"/>
        </w:tabs>
        <w:spacing w:before="0" w:after="0"/>
        <w:ind w:firstLine="1298"/>
        <w:jc w:val="both"/>
        <w:rPr>
          <w:rFonts w:ascii="Times New Roman" w:hAnsi="Times New Roman"/>
          <w:szCs w:val="24"/>
        </w:rPr>
      </w:pPr>
      <w:r>
        <w:rPr>
          <w:rFonts w:ascii="Times New Roman" w:hAnsi="Times New Roman"/>
          <w:szCs w:val="24"/>
        </w:rPr>
        <w:t>16.11. padėti Duomenų valdytojui įgyvendinti pareigą atlikti poveikio duomenų apsaugai vertinimą ir išankstines konsultacijas pagal Reglamento (ES) 2016/679 35–36 straipsnius;</w:t>
      </w:r>
    </w:p>
    <w:p>
      <w:pPr>
        <w:pStyle w:val="BodyText"/>
        <w:tabs>
          <w:tab w:val="clear" w:pos="1296"/>
          <w:tab w:val="left" w:pos="1134" w:leader="none"/>
        </w:tabs>
        <w:spacing w:before="0" w:after="0"/>
        <w:ind w:firstLine="1298"/>
        <w:jc w:val="both"/>
        <w:rPr>
          <w:rFonts w:ascii="Times New Roman" w:hAnsi="Times New Roman"/>
          <w:szCs w:val="24"/>
        </w:rPr>
      </w:pPr>
      <w:r>
        <w:rPr>
          <w:rFonts w:ascii="Times New Roman" w:hAnsi="Times New Roman"/>
          <w:szCs w:val="24"/>
        </w:rPr>
        <w:t>16.12. tvarkyti duomenų tvarkymo veiklos įrašus, kaip tai numatyta Reglamento (ES) 2016/679 30 straipsnio 2 dalyje;</w:t>
      </w:r>
    </w:p>
    <w:p>
      <w:pPr>
        <w:pStyle w:val="BodyText"/>
        <w:tabs>
          <w:tab w:val="clear" w:pos="1296"/>
          <w:tab w:val="left" w:pos="1134" w:leader="none"/>
        </w:tabs>
        <w:spacing w:before="0" w:after="0"/>
        <w:ind w:firstLine="1298"/>
        <w:jc w:val="both"/>
        <w:rPr>
          <w:rFonts w:ascii="Times New Roman" w:hAnsi="Times New Roman"/>
          <w:szCs w:val="24"/>
        </w:rPr>
      </w:pPr>
      <w:r>
        <w:rPr>
          <w:rFonts w:ascii="Times New Roman" w:hAnsi="Times New Roman"/>
          <w:szCs w:val="24"/>
        </w:rPr>
        <w:t>16.13. Duomenų valdytojui pareikalavus nedelsiant, bet ne vėliau kaip per 5 darbo dienas atsakyti į bet kokį Duomenų valdytojo paklausimą susijusį su asmens duomenų tvarkymu, pateikti duomenų valdytojui visą informaciją, būtiną siekiant įrodyti, kad vykdomos Sutartyje ir duomenų apsaugą reglamentuojančiuose teisės aktuose nustatytos prievolės, bei atlikti kitus Duomenų valdytojo nurodytus veiksmus;</w:t>
      </w:r>
    </w:p>
    <w:p>
      <w:pPr>
        <w:pStyle w:val="Normal"/>
        <w:spacing w:before="0" w:after="0"/>
        <w:ind w:firstLine="1298"/>
        <w:jc w:val="both"/>
        <w:rPr>
          <w:szCs w:val="24"/>
          <w:lang w:eastAsia="sv-SE"/>
        </w:rPr>
      </w:pPr>
      <w:r>
        <w:rPr>
          <w:szCs w:val="24"/>
        </w:rPr>
        <w:t>16.14. duomenų tvarkytojas pagal duomenų valdytojo pasirinkimą, užbaigus teikti su duomenų tvarkymu susijusias paslaugas, ištrina arba grąžina duomenų valdytojui visus asmens duomenis ir ištrina esamas jų kopijas, išskyrus atvejus, kai Europos Sąjungos ar Lietuvos teise reikalaujama asmens duomenis saugoti.</w:t>
      </w:r>
    </w:p>
    <w:p>
      <w:pPr>
        <w:pStyle w:val="Normal"/>
        <w:widowControl w:val="false"/>
        <w:tabs>
          <w:tab w:val="clear" w:pos="1296"/>
          <w:tab w:val="left" w:pos="509" w:leader="none"/>
        </w:tabs>
        <w:suppressAutoHyphens w:val="true"/>
        <w:spacing w:before="0" w:after="0"/>
        <w:ind w:firstLine="1298"/>
        <w:jc w:val="both"/>
        <w:rPr>
          <w:rFonts w:eastAsia="Lucida Sans Unicode"/>
        </w:rPr>
      </w:pPr>
      <w:r>
        <w:rPr>
          <w:rFonts w:eastAsia="Lucida Sans Unicode"/>
        </w:rPr>
        <w:t>17. Duomenų tvarkytojui draudžiama pasitelkti kitus duomenų tvarkytojus (subtvarkytojus) be išankstinio Duomenų valdytojo rašytinio sutikimo.</w:t>
      </w:r>
    </w:p>
    <w:p>
      <w:pPr>
        <w:pStyle w:val="Normal"/>
        <w:spacing w:before="0" w:after="0"/>
        <w:ind w:firstLine="1298"/>
        <w:contextualSpacing/>
        <w:jc w:val="both"/>
        <w:rPr>
          <w:rFonts w:eastAsia="Times New Roman"/>
          <w:szCs w:val="24"/>
        </w:rPr>
      </w:pPr>
      <w:r>
        <w:rPr>
          <w:rFonts w:eastAsia="Times New Roman"/>
          <w:szCs w:val="24"/>
        </w:rPr>
        <w:t xml:space="preserve">18. Duomenų tvarkytojas, gavęs Duomenų valdytojo sutikimą ir pasitelkęs subtvarkytojus, jiems nustato ne mažesnės apimties asmens duomenų apsaugos pareigas, negu tos, kurios Duomenų tvarkytojui yra numatytos šiame Susitarime, visų pirma, pareigą užtikrinti, kad tinkamos techninės ir organizacinės priemonės bus įgyvendintos tokiu būdu, kad duomenų tvarkymas atitiktų </w:t>
      </w:r>
      <w:r>
        <w:rPr>
          <w:szCs w:val="24"/>
        </w:rPr>
        <w:t xml:space="preserve">Reglamento (ES) 2016/679  ir kitų </w:t>
      </w:r>
      <w:r>
        <w:rPr>
          <w:rFonts w:eastAsia="Times New Roman"/>
          <w:szCs w:val="24"/>
        </w:rPr>
        <w:t>teisės aktų reikalavimus. Duomenų tvarkytojas išlieka atsakingas Duomenų valdytojui už savo pasitelktų subtvarkytojų veiksmus ar neveikimą tvarkant Duomenų valdytojo patikėtus asmens duomenis. Duomenų valdytojas subtvarkytojų atžvilgiu įgyja tokias pat teises, kokias pagal šį Susitarimą turi Duomenų tvarkytojo atžvilgiu.</w:t>
      </w:r>
    </w:p>
    <w:p>
      <w:pPr>
        <w:pStyle w:val="Normal"/>
        <w:spacing w:lineRule="auto" w:line="240" w:before="0" w:after="0"/>
        <w:ind w:firstLine="567"/>
        <w:contextualSpacing/>
        <w:jc w:val="both"/>
        <w:rPr>
          <w:rFonts w:eastAsia="Times New Roman"/>
          <w:szCs w:val="24"/>
        </w:rPr>
      </w:pPr>
      <w:r>
        <w:rPr>
          <w:rFonts w:eastAsia="Times New Roman"/>
          <w:szCs w:val="24"/>
        </w:rPr>
      </w:r>
    </w:p>
    <w:p>
      <w:pPr>
        <w:pStyle w:val="Normal"/>
        <w:spacing w:lineRule="auto" w:line="240" w:before="0" w:after="0"/>
        <w:contextualSpacing/>
        <w:jc w:val="both"/>
        <w:rPr>
          <w:szCs w:val="24"/>
        </w:rPr>
      </w:pPr>
      <w:r>
        <w:rPr>
          <w:szCs w:val="24"/>
        </w:rPr>
      </w:r>
    </w:p>
    <w:p>
      <w:pPr>
        <w:pStyle w:val="Normal"/>
        <w:tabs>
          <w:tab w:val="clear" w:pos="1296"/>
          <w:tab w:val="left" w:pos="426" w:leader="none"/>
        </w:tabs>
        <w:spacing w:lineRule="auto" w:line="240" w:before="0" w:after="0"/>
        <w:jc w:val="center"/>
        <w:rPr>
          <w:b/>
          <w:bCs/>
          <w:caps/>
          <w:szCs w:val="24"/>
        </w:rPr>
      </w:pPr>
      <w:r>
        <w:rPr>
          <w:b/>
          <w:bCs/>
          <w:caps/>
          <w:szCs w:val="24"/>
        </w:rPr>
        <w:t>IV. DUOMENŲ SUBJEKTŲ TEISIŲ ĮGYVENDINIMAS</w:t>
      </w:r>
    </w:p>
    <w:p>
      <w:pPr>
        <w:pStyle w:val="Normal"/>
        <w:tabs>
          <w:tab w:val="clear" w:pos="1296"/>
          <w:tab w:val="left" w:pos="426" w:leader="none"/>
        </w:tabs>
        <w:spacing w:before="0" w:after="0"/>
        <w:ind w:firstLine="1298" w:left="426"/>
        <w:jc w:val="both"/>
        <w:rPr>
          <w:b/>
          <w:bCs/>
          <w:caps/>
          <w:szCs w:val="24"/>
        </w:rPr>
      </w:pPr>
      <w:r>
        <w:rPr>
          <w:b/>
          <w:bCs/>
          <w:caps/>
          <w:szCs w:val="24"/>
        </w:rPr>
      </w:r>
    </w:p>
    <w:p>
      <w:pPr>
        <w:pStyle w:val="Normal"/>
        <w:widowControl w:val="false"/>
        <w:tabs>
          <w:tab w:val="clear" w:pos="1296"/>
          <w:tab w:val="left" w:pos="509" w:leader="none"/>
        </w:tabs>
        <w:suppressAutoHyphens w:val="true"/>
        <w:spacing w:before="0" w:after="0"/>
        <w:ind w:firstLine="1298"/>
        <w:jc w:val="both"/>
        <w:rPr>
          <w:rFonts w:eastAsia="Lucida Sans Unicode"/>
          <w:szCs w:val="24"/>
        </w:rPr>
      </w:pPr>
      <w:r>
        <w:rPr>
          <w:rFonts w:eastAsia="Lucida Sans Unicode"/>
          <w:szCs w:val="24"/>
        </w:rPr>
        <w:t xml:space="preserve">19. Duomenų tvarkytojas </w:t>
      </w:r>
      <w:r>
        <w:rPr>
          <w:rFonts w:eastAsia="Lucida Sans Unicode"/>
          <w:szCs w:val="24"/>
          <w:lang w:val="sv-SE" w:eastAsia="sv-SE"/>
        </w:rPr>
        <w:t>atsižvelgdamas į duomenų tvarkymo pobūdį, padėti Duomenų valdytojui taikydamas tinkamas technines ir organizacines priemones, kiek tai įmanoma, kad būtų įvykdyta Duomenų valdytojo prievolė atsakyti į prašymus pasinaudoti Reglamento III skyriuje nustatytomis duomenų subjektų teisėmis. Nepaisant to, kas išdėstyta šiame punkte aukščiau, Šalys patvirtina, kad už duomenų subjektų ir trečiųjų asmenų paklausimų ir skundų dėl asmens duomenų nagrinėjimą ir sprendimą yra atsakingas Duomenų valdytojas.</w:t>
      </w:r>
    </w:p>
    <w:p>
      <w:pPr>
        <w:pStyle w:val="Normal"/>
        <w:widowControl w:val="false"/>
        <w:tabs>
          <w:tab w:val="clear" w:pos="1296"/>
          <w:tab w:val="left" w:pos="509" w:leader="none"/>
        </w:tabs>
        <w:suppressAutoHyphens w:val="true"/>
        <w:spacing w:before="0" w:after="0"/>
        <w:ind w:firstLine="1298"/>
        <w:jc w:val="both"/>
        <w:rPr/>
      </w:pPr>
      <w:r>
        <w:rPr>
          <w:rFonts w:eastAsia="Lucida Sans Unicode"/>
          <w:szCs w:val="24"/>
        </w:rPr>
        <w:t>20. Duomenų tvarkytojas gavęs duomenų subjekto prašymą, privalo nedelsiant, bet ne vėliau kaip per 3 darbo dienas persiųsti jį Duomenų valdytojui.</w:t>
      </w:r>
    </w:p>
    <w:p>
      <w:pPr>
        <w:pStyle w:val="Normal"/>
        <w:widowControl w:val="false"/>
        <w:tabs>
          <w:tab w:val="clear" w:pos="1296"/>
          <w:tab w:val="left" w:pos="509" w:leader="none"/>
        </w:tabs>
        <w:suppressAutoHyphens w:val="true"/>
        <w:spacing w:before="0" w:after="0"/>
        <w:ind w:firstLine="1298"/>
        <w:jc w:val="both"/>
        <w:rPr>
          <w:szCs w:val="24"/>
        </w:rPr>
      </w:pPr>
      <w:r>
        <w:rPr>
          <w:szCs w:val="24"/>
        </w:rPr>
        <w:t xml:space="preserve">21. Savo teises duomenų subjektas gali įgyvendinti pats arba per atstovą. Asmens atstovo prašyme turi būti nurodytas atstovo vardas, pavardė ir kontaktiniai duomenys, kuriais pageidaujama gauti atsakymą, taip pat atstovaujamo asmens vardas, pavardė bei pateikti atstovavimo patvirtinimo dokumentai ar jų kopijos. </w:t>
      </w:r>
    </w:p>
    <w:p>
      <w:pPr>
        <w:pStyle w:val="Normal"/>
        <w:widowControl w:val="false"/>
        <w:tabs>
          <w:tab w:val="clear" w:pos="1296"/>
          <w:tab w:val="left" w:pos="509" w:leader="none"/>
        </w:tabs>
        <w:suppressAutoHyphens w:val="true"/>
        <w:spacing w:before="0" w:after="0"/>
        <w:ind w:firstLine="1298"/>
        <w:jc w:val="both"/>
        <w:rPr>
          <w:szCs w:val="24"/>
        </w:rPr>
      </w:pPr>
      <w:r>
        <w:rPr>
          <w:szCs w:val="24"/>
        </w:rPr>
        <w:t>22. Esant abejonių dėl duomenų subjekto tapatybės, Duomenų tvarkytojas privalo prašyti papildomos informacijos ir dokumentų.</w:t>
      </w:r>
    </w:p>
    <w:p>
      <w:pPr>
        <w:pStyle w:val="Normal"/>
        <w:widowControl w:val="false"/>
        <w:tabs>
          <w:tab w:val="clear" w:pos="1296"/>
          <w:tab w:val="left" w:pos="509" w:leader="none"/>
        </w:tabs>
        <w:suppressAutoHyphens w:val="true"/>
        <w:spacing w:before="0" w:after="0"/>
        <w:ind w:firstLine="1298"/>
        <w:jc w:val="both"/>
        <w:rPr/>
      </w:pPr>
      <w:r>
        <w:rPr>
          <w:szCs w:val="24"/>
        </w:rPr>
        <w:t xml:space="preserve">23. </w:t>
      </w:r>
      <w:r>
        <w:rPr>
          <w:rFonts w:eastAsia="Times New Roman"/>
          <w:szCs w:val="24"/>
        </w:rPr>
        <w:t xml:space="preserve">Duomenų valdytojas, gavęs duomenų subjekto prašymą pasinaudoti Reglamente nustatytomis duomenų subjektų teisėmis, esant poreikiui, pateikia dokumentinį nurodymą Duomenų tvarkytojui apriboti tokio duomenų subjekto asmens duomenų tvarkymą iki kol Duomenų valdytojas priims sprendimą dėl atitinkamos duomenų subjekto teisės įgyvendinimo. </w:t>
      </w:r>
    </w:p>
    <w:p>
      <w:pPr>
        <w:pStyle w:val="Normal"/>
        <w:widowControl w:val="false"/>
        <w:tabs>
          <w:tab w:val="clear" w:pos="1296"/>
          <w:tab w:val="left" w:pos="509" w:leader="none"/>
        </w:tabs>
        <w:suppressAutoHyphens w:val="true"/>
        <w:spacing w:before="0" w:after="0"/>
        <w:ind w:firstLine="1298"/>
        <w:jc w:val="both"/>
        <w:rPr>
          <w:szCs w:val="24"/>
        </w:rPr>
      </w:pPr>
      <w:r>
        <w:rPr>
          <w:szCs w:val="24"/>
        </w:rPr>
      </w:r>
    </w:p>
    <w:p>
      <w:pPr>
        <w:pStyle w:val="Normal"/>
        <w:tabs>
          <w:tab w:val="clear" w:pos="1296"/>
          <w:tab w:val="left" w:pos="426" w:leader="none"/>
        </w:tabs>
        <w:spacing w:before="0" w:after="0"/>
        <w:ind w:firstLine="1298"/>
        <w:jc w:val="both"/>
        <w:rPr>
          <w:b/>
          <w:bCs/>
          <w:caps/>
          <w:szCs w:val="24"/>
        </w:rPr>
      </w:pPr>
      <w:r>
        <w:rPr>
          <w:b/>
          <w:bCs/>
          <w:caps/>
          <w:szCs w:val="24"/>
        </w:rPr>
        <w:t>V. ASMENS DUOMENŲ SAUGUMO PAŽEIDIMŲ VALDYMAS</w:t>
      </w:r>
    </w:p>
    <w:p>
      <w:pPr>
        <w:pStyle w:val="Normal"/>
        <w:tabs>
          <w:tab w:val="clear" w:pos="1296"/>
          <w:tab w:val="left" w:pos="426" w:leader="none"/>
        </w:tabs>
        <w:spacing w:before="0" w:after="0"/>
        <w:ind w:firstLine="1298"/>
        <w:jc w:val="both"/>
        <w:rPr>
          <w:b/>
          <w:bCs/>
          <w:caps/>
          <w:szCs w:val="24"/>
        </w:rPr>
      </w:pPr>
      <w:r>
        <w:rPr>
          <w:b/>
          <w:bCs/>
          <w:caps/>
          <w:szCs w:val="24"/>
        </w:rPr>
      </w:r>
    </w:p>
    <w:p>
      <w:pPr>
        <w:pStyle w:val="BodyText"/>
        <w:tabs>
          <w:tab w:val="clear" w:pos="1296"/>
          <w:tab w:val="left" w:pos="426" w:leader="none"/>
        </w:tabs>
        <w:spacing w:before="0" w:after="0"/>
        <w:ind w:firstLine="1298"/>
        <w:jc w:val="both"/>
        <w:rPr>
          <w:rFonts w:ascii="Times New Roman" w:hAnsi="Times New Roman"/>
          <w:szCs w:val="24"/>
        </w:rPr>
      </w:pPr>
      <w:r>
        <w:rPr>
          <w:rFonts w:ascii="Times New Roman" w:hAnsi="Times New Roman"/>
          <w:szCs w:val="24"/>
        </w:rPr>
        <w:t>24. Bet kokio asmens duomenų saugumo pažeidimo atveju Duomenų tvarkytojas privalo nedelsiant, bet ne vėliau kaip per 5 darbo valandas nuo tada, kai Duomenų tvarkytojas sužinojo apie asmens duomenų saugumo pažeidimą, raštu informuoti apie tai Duomenų valdytoją, jei įmanoma pateikiant šią informaciją:</w:t>
      </w:r>
    </w:p>
    <w:p>
      <w:pPr>
        <w:pStyle w:val="BodyText"/>
        <w:tabs>
          <w:tab w:val="clear" w:pos="1296"/>
          <w:tab w:val="left" w:pos="1134" w:leader="none"/>
        </w:tabs>
        <w:spacing w:before="0" w:after="0"/>
        <w:ind w:firstLine="1298"/>
        <w:jc w:val="both"/>
        <w:rPr>
          <w:rFonts w:ascii="Times New Roman" w:hAnsi="Times New Roman"/>
          <w:szCs w:val="24"/>
        </w:rPr>
      </w:pPr>
      <w:r>
        <w:rPr>
          <w:rFonts w:ascii="Times New Roman" w:hAnsi="Times New Roman"/>
          <w:szCs w:val="24"/>
        </w:rPr>
        <w:t>24.1. asmens duomenų saugumo pažeidimo apibūdinimas:</w:t>
      </w:r>
    </w:p>
    <w:p>
      <w:pPr>
        <w:pStyle w:val="BodyText"/>
        <w:tabs>
          <w:tab w:val="clear" w:pos="1296"/>
          <w:tab w:val="left" w:pos="720" w:leader="none"/>
          <w:tab w:val="left" w:pos="1276" w:leader="none"/>
          <w:tab w:val="left" w:pos="1843" w:leader="none"/>
        </w:tabs>
        <w:spacing w:before="0" w:after="0"/>
        <w:ind w:firstLine="1298"/>
        <w:jc w:val="both"/>
        <w:rPr>
          <w:rFonts w:ascii="Times New Roman" w:hAnsi="Times New Roman"/>
          <w:szCs w:val="24"/>
        </w:rPr>
      </w:pPr>
      <w:r>
        <w:rPr>
          <w:rFonts w:ascii="Times New Roman" w:hAnsi="Times New Roman"/>
          <w:szCs w:val="24"/>
        </w:rPr>
        <w:t>24.2. asmens duomenų saugumo pažeidimo data, laikas ir vieta;</w:t>
      </w:r>
    </w:p>
    <w:p>
      <w:pPr>
        <w:pStyle w:val="BodyText"/>
        <w:tabs>
          <w:tab w:val="clear" w:pos="1296"/>
          <w:tab w:val="left" w:pos="720" w:leader="none"/>
          <w:tab w:val="left" w:pos="1276" w:leader="none"/>
          <w:tab w:val="left" w:pos="1843" w:leader="none"/>
        </w:tabs>
        <w:spacing w:before="0" w:after="0"/>
        <w:ind w:firstLine="1298"/>
        <w:jc w:val="both"/>
        <w:rPr>
          <w:rFonts w:ascii="Times New Roman" w:hAnsi="Times New Roman"/>
          <w:szCs w:val="24"/>
        </w:rPr>
      </w:pPr>
      <w:r>
        <w:rPr>
          <w:rFonts w:ascii="Times New Roman" w:hAnsi="Times New Roman"/>
          <w:szCs w:val="24"/>
        </w:rPr>
        <w:t>24.3. asmens duomenų saugumo pažeidimo nustatymo data ir laikas;</w:t>
      </w:r>
    </w:p>
    <w:p>
      <w:pPr>
        <w:pStyle w:val="BodyText"/>
        <w:tabs>
          <w:tab w:val="clear" w:pos="1296"/>
          <w:tab w:val="left" w:pos="720" w:leader="none"/>
          <w:tab w:val="left" w:pos="1276" w:leader="none"/>
          <w:tab w:val="left" w:pos="1843" w:leader="none"/>
        </w:tabs>
        <w:spacing w:before="0" w:after="0"/>
        <w:ind w:firstLine="1298"/>
        <w:jc w:val="both"/>
        <w:rPr>
          <w:rFonts w:ascii="Times New Roman" w:hAnsi="Times New Roman"/>
          <w:szCs w:val="24"/>
        </w:rPr>
      </w:pPr>
      <w:r>
        <w:rPr>
          <w:rFonts w:ascii="Times New Roman" w:hAnsi="Times New Roman"/>
          <w:szCs w:val="24"/>
        </w:rPr>
        <w:t>24.4.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pPr>
        <w:pStyle w:val="BodyText"/>
        <w:tabs>
          <w:tab w:val="clear" w:pos="1296"/>
          <w:tab w:val="left" w:pos="720" w:leader="none"/>
          <w:tab w:val="left" w:pos="1276" w:leader="none"/>
          <w:tab w:val="left" w:pos="1843" w:leader="none"/>
        </w:tabs>
        <w:spacing w:before="0" w:after="0"/>
        <w:ind w:firstLine="1298"/>
        <w:jc w:val="both"/>
        <w:rPr>
          <w:rFonts w:ascii="Times New Roman" w:hAnsi="Times New Roman"/>
          <w:szCs w:val="24"/>
        </w:rPr>
      </w:pPr>
      <w:r>
        <w:rPr>
          <w:rFonts w:ascii="Times New Roman" w:hAnsi="Times New Roman"/>
          <w:szCs w:val="24"/>
        </w:rPr>
        <w:t>24.5. tikslus ar apytikslis duomenų subjektų, kurių asmens duomenų saugumas pažeistas, skaičius ir kategorijos;</w:t>
      </w:r>
    </w:p>
    <w:p>
      <w:pPr>
        <w:pStyle w:val="BodyText"/>
        <w:tabs>
          <w:tab w:val="clear" w:pos="1296"/>
          <w:tab w:val="left" w:pos="720" w:leader="none"/>
          <w:tab w:val="left" w:pos="1276" w:leader="none"/>
          <w:tab w:val="left" w:pos="1843" w:leader="none"/>
        </w:tabs>
        <w:spacing w:before="0" w:after="0"/>
        <w:ind w:firstLine="1298"/>
        <w:jc w:val="both"/>
        <w:rPr>
          <w:rFonts w:ascii="Times New Roman" w:hAnsi="Times New Roman"/>
          <w:szCs w:val="24"/>
        </w:rPr>
      </w:pPr>
      <w:r>
        <w:rPr>
          <w:rFonts w:ascii="Times New Roman" w:hAnsi="Times New Roman"/>
          <w:szCs w:val="24"/>
        </w:rPr>
        <w:t>24.6. asmens duomenų, kurių saugumas pažeistas, kategorijos ir tikslus ar apytikslis atitinkamų asmens duomenų įrašų skaičius pagal kategorijas;</w:t>
      </w:r>
    </w:p>
    <w:p>
      <w:pPr>
        <w:pStyle w:val="BodyText"/>
        <w:tabs>
          <w:tab w:val="clear" w:pos="1296"/>
          <w:tab w:val="left" w:pos="720" w:leader="none"/>
          <w:tab w:val="left" w:pos="1276" w:leader="none"/>
          <w:tab w:val="left" w:pos="1843" w:leader="none"/>
        </w:tabs>
        <w:spacing w:before="0" w:after="0"/>
        <w:ind w:firstLine="1298"/>
        <w:jc w:val="both"/>
        <w:rPr>
          <w:rFonts w:ascii="Times New Roman" w:hAnsi="Times New Roman"/>
          <w:szCs w:val="24"/>
        </w:rPr>
      </w:pPr>
      <w:r>
        <w:rPr>
          <w:rFonts w:ascii="Times New Roman" w:hAnsi="Times New Roman"/>
          <w:szCs w:val="24"/>
        </w:rPr>
        <w:t>24.7. tikėtinos asmens duomenų saugumo pažeidimo pasekmės;</w:t>
      </w:r>
    </w:p>
    <w:p>
      <w:pPr>
        <w:pStyle w:val="BodyText"/>
        <w:tabs>
          <w:tab w:val="clear" w:pos="1296"/>
          <w:tab w:val="left" w:pos="720" w:leader="none"/>
          <w:tab w:val="left" w:pos="1276" w:leader="none"/>
          <w:tab w:val="left" w:pos="1843" w:leader="none"/>
        </w:tabs>
        <w:spacing w:before="0" w:after="0"/>
        <w:ind w:firstLine="1298"/>
        <w:jc w:val="both"/>
        <w:rPr>
          <w:rFonts w:ascii="Times New Roman" w:hAnsi="Times New Roman"/>
          <w:szCs w:val="24"/>
        </w:rPr>
      </w:pPr>
      <w:r>
        <w:rPr>
          <w:rFonts w:ascii="Times New Roman" w:hAnsi="Times New Roman"/>
          <w:szCs w:val="24"/>
        </w:rPr>
        <w:t>24.8. kita, Duomenų tvarkytojo nuomone, reikšminga informacija;</w:t>
      </w:r>
    </w:p>
    <w:p>
      <w:pPr>
        <w:pStyle w:val="BodyText"/>
        <w:tabs>
          <w:tab w:val="clear" w:pos="1296"/>
          <w:tab w:val="left" w:pos="1134" w:leader="none"/>
        </w:tabs>
        <w:spacing w:before="0" w:after="0"/>
        <w:ind w:firstLine="1298"/>
        <w:jc w:val="both"/>
        <w:rPr>
          <w:rFonts w:ascii="Times New Roman" w:hAnsi="Times New Roman"/>
          <w:szCs w:val="24"/>
        </w:rPr>
      </w:pPr>
      <w:r>
        <w:rPr>
          <w:rFonts w:ascii="Times New Roman" w:hAnsi="Times New Roman"/>
          <w:szCs w:val="24"/>
        </w:rPr>
        <w:t>24.9. priemonės, kurių ėmėsi arba siūlo imtis Duomenų tvarkytojas, kad būtų pašalintas asmens duomenų saugumo pažeidimas arba kad būtų sumažintos jo sukeltos pasekmės;</w:t>
      </w:r>
    </w:p>
    <w:p>
      <w:pPr>
        <w:pStyle w:val="BodyText"/>
        <w:tabs>
          <w:tab w:val="clear" w:pos="1296"/>
          <w:tab w:val="left" w:pos="1134" w:leader="none"/>
        </w:tabs>
        <w:spacing w:before="0" w:after="0"/>
        <w:ind w:firstLine="1298"/>
        <w:jc w:val="both"/>
        <w:rPr>
          <w:rFonts w:ascii="Times New Roman" w:hAnsi="Times New Roman"/>
          <w:szCs w:val="24"/>
        </w:rPr>
      </w:pPr>
      <w:r>
        <w:rPr>
          <w:rFonts w:ascii="Times New Roman" w:hAnsi="Times New Roman"/>
          <w:szCs w:val="24"/>
        </w:rPr>
        <w:t>24.10. pranešimo vėlavimo priežastys, jeigu apie asmens duomenų saugumo pažeidimą pranešama vėliau nei per 24 valandas nuo tada, kai Duomenų tvarkytojas sužinojo apie asmens duomenų saugumo pažeidimą;</w:t>
      </w:r>
    </w:p>
    <w:p>
      <w:pPr>
        <w:pStyle w:val="BodyText"/>
        <w:tabs>
          <w:tab w:val="clear" w:pos="1296"/>
          <w:tab w:val="left" w:pos="1134" w:leader="none"/>
        </w:tabs>
        <w:spacing w:before="0" w:after="0"/>
        <w:ind w:firstLine="1298"/>
        <w:jc w:val="both"/>
        <w:rPr>
          <w:rFonts w:ascii="Times New Roman" w:hAnsi="Times New Roman"/>
          <w:szCs w:val="24"/>
        </w:rPr>
      </w:pPr>
      <w:r>
        <w:rPr>
          <w:rFonts w:ascii="Times New Roman" w:hAnsi="Times New Roman"/>
          <w:szCs w:val="24"/>
        </w:rPr>
        <w:t>24.11. duomenų apsaugos pareigūno ir / arba kito kontaktinio asmens, galinčio suteikti daugiau informacijos, duomenys:</w:t>
      </w:r>
    </w:p>
    <w:p>
      <w:pPr>
        <w:pStyle w:val="BodyText"/>
        <w:tabs>
          <w:tab w:val="clear" w:pos="1296"/>
          <w:tab w:val="left" w:pos="851" w:leader="none"/>
          <w:tab w:val="left" w:pos="1276" w:leader="none"/>
          <w:tab w:val="left" w:pos="1843" w:leader="none"/>
        </w:tabs>
        <w:spacing w:before="0" w:after="0"/>
        <w:ind w:firstLine="1298"/>
        <w:jc w:val="both"/>
        <w:rPr>
          <w:rFonts w:ascii="Times New Roman" w:hAnsi="Times New Roman"/>
          <w:szCs w:val="24"/>
        </w:rPr>
      </w:pPr>
      <w:r>
        <w:rPr>
          <w:rFonts w:ascii="Times New Roman" w:hAnsi="Times New Roman"/>
          <w:szCs w:val="24"/>
        </w:rPr>
        <w:t>24.11.1. vardas ir pavardė;</w:t>
      </w:r>
    </w:p>
    <w:p>
      <w:pPr>
        <w:pStyle w:val="BodyText"/>
        <w:tabs>
          <w:tab w:val="clear" w:pos="1296"/>
          <w:tab w:val="left" w:pos="851" w:leader="none"/>
          <w:tab w:val="left" w:pos="1276" w:leader="none"/>
          <w:tab w:val="left" w:pos="1843" w:leader="none"/>
        </w:tabs>
        <w:spacing w:before="0" w:after="0"/>
        <w:ind w:firstLine="1298"/>
        <w:jc w:val="both"/>
        <w:rPr>
          <w:rFonts w:ascii="Times New Roman" w:hAnsi="Times New Roman"/>
          <w:szCs w:val="24"/>
        </w:rPr>
      </w:pPr>
      <w:r>
        <w:rPr>
          <w:rFonts w:ascii="Times New Roman" w:hAnsi="Times New Roman"/>
          <w:szCs w:val="24"/>
        </w:rPr>
        <w:t>24.11.2. telefono ryšio numeris ir (ar) elektroninio pašto adresas;</w:t>
      </w:r>
    </w:p>
    <w:p>
      <w:pPr>
        <w:pStyle w:val="BodyText"/>
        <w:tabs>
          <w:tab w:val="clear" w:pos="1296"/>
          <w:tab w:val="left" w:pos="851" w:leader="none"/>
          <w:tab w:val="left" w:pos="1276" w:leader="none"/>
          <w:tab w:val="left" w:pos="1843" w:leader="none"/>
        </w:tabs>
        <w:spacing w:before="0" w:after="0"/>
        <w:ind w:firstLine="1298"/>
        <w:jc w:val="both"/>
        <w:rPr>
          <w:rFonts w:ascii="Times New Roman" w:hAnsi="Times New Roman"/>
          <w:szCs w:val="24"/>
        </w:rPr>
      </w:pPr>
      <w:r>
        <w:rPr>
          <w:rFonts w:ascii="Times New Roman" w:hAnsi="Times New Roman"/>
          <w:szCs w:val="24"/>
        </w:rPr>
        <w:t>24.11.3. pareigos.</w:t>
      </w:r>
    </w:p>
    <w:p>
      <w:pPr>
        <w:pStyle w:val="BodyText"/>
        <w:tabs>
          <w:tab w:val="clear" w:pos="1296"/>
          <w:tab w:val="left" w:pos="426" w:leader="none"/>
        </w:tabs>
        <w:spacing w:before="0" w:after="0"/>
        <w:ind w:firstLine="1298"/>
        <w:jc w:val="both"/>
        <w:rPr>
          <w:rFonts w:ascii="Times New Roman" w:hAnsi="Times New Roman"/>
          <w:szCs w:val="24"/>
        </w:rPr>
      </w:pPr>
      <w:r>
        <w:rPr>
          <w:rFonts w:ascii="Times New Roman" w:hAnsi="Times New Roman"/>
          <w:szCs w:val="24"/>
        </w:rPr>
        <w:t xml:space="preserve">25. Jei įmanoma, Duomenų tvarkytojas privalo nedelsiant imtis priemonių pašalinti asmens duomenų saugumo pažeidimą ir priemonių galimoms neigiamoms jo pasekmėms sumažinti. </w:t>
      </w:r>
    </w:p>
    <w:p>
      <w:pPr>
        <w:pStyle w:val="BodyText"/>
        <w:tabs>
          <w:tab w:val="clear" w:pos="1296"/>
          <w:tab w:val="left" w:pos="426" w:leader="none"/>
        </w:tabs>
        <w:spacing w:before="0" w:after="0"/>
        <w:ind w:firstLine="1298"/>
        <w:jc w:val="both"/>
        <w:rPr>
          <w:rFonts w:ascii="Times New Roman" w:hAnsi="Times New Roman"/>
          <w:szCs w:val="24"/>
        </w:rPr>
      </w:pPr>
      <w:r>
        <w:rPr>
          <w:rFonts w:ascii="Times New Roman" w:hAnsi="Times New Roman"/>
          <w:szCs w:val="24"/>
        </w:rPr>
        <w:t xml:space="preserve">26. Duomenų tvarkytojas savo iniciatyva ir pagal Duomenų valdytojo prašymus ir toliau po </w:t>
      </w:r>
      <w:r>
        <w:rPr>
          <w:rFonts w:ascii="Times New Roman" w:hAnsi="Times New Roman"/>
          <w:color w:themeColor="text1" w:val="000000"/>
          <w:szCs w:val="24"/>
        </w:rPr>
        <w:t>Sutarimo 24</w:t>
      </w:r>
      <w:r>
        <w:rPr>
          <w:rFonts w:ascii="Times New Roman" w:hAnsi="Times New Roman"/>
          <w:szCs w:val="24"/>
        </w:rPr>
        <w:t>punkte nurodyto pranešimo pateikimo teikia Duomenų valdytojui visą informaciją apie asmens duomenų saugumo pažeidimą ir, bendradarbiaudamas su Duomenų valdytoju, imasi visų įmanomų priemonių kad būtų pašalintas asmens duomenų saugumo pažeidimas arba kad būtų sumažintos jo sukeltos pasekmės, įgyvendina priemones, kurios padėtų išvengti asmens duomenų apsaugos pažeidimų ateityje.</w:t>
      </w:r>
    </w:p>
    <w:p>
      <w:pPr>
        <w:pStyle w:val="BodyText"/>
        <w:tabs>
          <w:tab w:val="clear" w:pos="1296"/>
          <w:tab w:val="left" w:pos="426" w:leader="none"/>
        </w:tabs>
        <w:spacing w:lineRule="auto" w:line="240" w:before="0" w:after="0"/>
        <w:ind w:firstLine="567"/>
        <w:jc w:val="both"/>
        <w:rPr>
          <w:rFonts w:ascii="Times New Roman" w:hAnsi="Times New Roman"/>
          <w:szCs w:val="24"/>
        </w:rPr>
      </w:pPr>
      <w:r>
        <w:rPr>
          <w:rFonts w:ascii="Times New Roman" w:hAnsi="Times New Roman"/>
          <w:szCs w:val="24"/>
        </w:rPr>
      </w:r>
    </w:p>
    <w:p>
      <w:pPr>
        <w:pStyle w:val="Normal"/>
        <w:tabs>
          <w:tab w:val="clear" w:pos="1296"/>
          <w:tab w:val="left" w:pos="426" w:leader="none"/>
        </w:tabs>
        <w:spacing w:lineRule="auto" w:line="240" w:before="0" w:after="0"/>
        <w:jc w:val="center"/>
        <w:rPr>
          <w:b/>
          <w:bCs/>
          <w:caps/>
          <w:szCs w:val="24"/>
        </w:rPr>
      </w:pPr>
      <w:r>
        <w:rPr>
          <w:b/>
          <w:bCs/>
          <w:caps/>
          <w:szCs w:val="24"/>
        </w:rPr>
        <w:t>VI. Atsakomybė ir ginčų sprendimo tvarka</w:t>
      </w:r>
    </w:p>
    <w:p>
      <w:pPr>
        <w:pStyle w:val="Normal"/>
        <w:tabs>
          <w:tab w:val="clear" w:pos="1296"/>
          <w:tab w:val="left" w:pos="426" w:leader="none"/>
        </w:tabs>
        <w:spacing w:lineRule="auto" w:line="240" w:before="0" w:after="0"/>
        <w:jc w:val="center"/>
        <w:rPr>
          <w:b/>
          <w:bCs/>
          <w:caps/>
          <w:szCs w:val="24"/>
        </w:rPr>
      </w:pPr>
      <w:r>
        <w:rPr>
          <w:b/>
          <w:bCs/>
          <w:caps/>
          <w:szCs w:val="24"/>
        </w:rPr>
      </w:r>
    </w:p>
    <w:p>
      <w:pPr>
        <w:pStyle w:val="BodyText"/>
        <w:tabs>
          <w:tab w:val="clear" w:pos="1296"/>
          <w:tab w:val="left" w:pos="426" w:leader="none"/>
        </w:tabs>
        <w:spacing w:before="0" w:after="0"/>
        <w:ind w:firstLine="1298"/>
        <w:jc w:val="both"/>
        <w:rPr>
          <w:rFonts w:ascii="Times New Roman" w:hAnsi="Times New Roman"/>
          <w:szCs w:val="24"/>
        </w:rPr>
      </w:pPr>
      <w:r>
        <w:rPr>
          <w:rFonts w:ascii="Times New Roman" w:hAnsi="Times New Roman"/>
          <w:szCs w:val="24"/>
        </w:rPr>
        <w:t>27. Už šio Susitarimo įsipareigojimų nevykdymą arba netinkamą vykdymą Šalys atsako Lietuvos Respublikos įstatymų nustatyta tvarka.</w:t>
      </w:r>
    </w:p>
    <w:p>
      <w:pPr>
        <w:pStyle w:val="BodyText"/>
        <w:tabs>
          <w:tab w:val="clear" w:pos="1296"/>
          <w:tab w:val="left" w:pos="426" w:leader="none"/>
        </w:tabs>
        <w:spacing w:before="0" w:after="0"/>
        <w:ind w:firstLine="1298"/>
        <w:jc w:val="both"/>
        <w:rPr>
          <w:rFonts w:ascii="Times New Roman" w:hAnsi="Times New Roman"/>
          <w:szCs w:val="24"/>
        </w:rPr>
      </w:pPr>
      <w:r>
        <w:rPr>
          <w:rFonts w:ascii="Times New Roman" w:hAnsi="Times New Roman"/>
          <w:szCs w:val="24"/>
        </w:rPr>
        <w:t>28. Nedarant poveikio šio skyriaus nuostatoms, Reglamento (ES) 2016/679 82, 83 ir 84 straipsniams, jei Duomenų tvarkytojas veikia ne pagal Duomenų valdytojo nurodymus ir nustatydamas duomenų tvarkymo tikslus ir priemones pažeidžia Reglamentą (ES) 2016/679, to duomenų tvarkymo atžvilgiu Duomenų tvarkytojas yra laikomas duomenų valdytoju.</w:t>
      </w:r>
    </w:p>
    <w:p>
      <w:pPr>
        <w:pStyle w:val="BodyText"/>
        <w:tabs>
          <w:tab w:val="clear" w:pos="1296"/>
          <w:tab w:val="left" w:pos="426" w:leader="none"/>
        </w:tabs>
        <w:spacing w:before="0" w:after="0"/>
        <w:ind w:firstLine="1298"/>
        <w:jc w:val="both"/>
        <w:rPr>
          <w:rFonts w:ascii="Times New Roman" w:hAnsi="Times New Roman" w:eastAsia="Times New Roman"/>
          <w:szCs w:val="24"/>
        </w:rPr>
      </w:pPr>
      <w:r>
        <w:rPr>
          <w:rFonts w:ascii="Times New Roman" w:hAnsi="Times New Roman"/>
          <w:szCs w:val="24"/>
        </w:rPr>
        <w:t>29. Duomenų t</w:t>
      </w:r>
      <w:r>
        <w:rPr>
          <w:rFonts w:eastAsia="Times New Roman" w:ascii="Times New Roman" w:hAnsi="Times New Roman"/>
          <w:szCs w:val="24"/>
        </w:rPr>
        <w:t>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Duomenų valdytojas įsipareigoja pilnai atlyginti visus Duomenų tvarkytojo patirtus nuostolius, išlaidas ar kaštus, susijusius su Duomenų valdytojo klientų / duomenų subjektų ar kitų asmenų pretenzijų, reikalavimų ar ieškinių vykdymu ir tenkinimu, taip pat kompetentingų institucijų nurodymų vykdymu, išskyrus atvejus, kai tokius nuostolius, išlaidas ar kaštus sukėlė paties Duomenų tvarkytojo tyčia ar didelis neatsargumas pažeidžiant šį Susitarimą.</w:t>
      </w:r>
    </w:p>
    <w:p>
      <w:pPr>
        <w:pStyle w:val="BodyText"/>
        <w:tabs>
          <w:tab w:val="clear" w:pos="1296"/>
          <w:tab w:val="left" w:pos="426" w:leader="none"/>
        </w:tabs>
        <w:spacing w:before="0" w:after="0"/>
        <w:ind w:firstLine="1298"/>
        <w:jc w:val="both"/>
        <w:rPr>
          <w:rFonts w:ascii="Times New Roman" w:hAnsi="Times New Roman"/>
          <w:szCs w:val="24"/>
        </w:rPr>
      </w:pPr>
      <w:r>
        <w:rPr>
          <w:rFonts w:eastAsia="Times New Roman" w:ascii="Times New Roman" w:hAnsi="Times New Roman"/>
          <w:szCs w:val="24"/>
        </w:rPr>
        <w:t xml:space="preserve">30. </w:t>
      </w:r>
      <w:r>
        <w:rPr>
          <w:rFonts w:ascii="Times New Roman" w:hAnsi="Times New Roman"/>
          <w:szCs w:val="24"/>
        </w:rPr>
        <w:t>Su Susitarimu susiję ginčai, kurių nepavyksta išspręsti derybų keliu per 30 dienų nuo pagrįstos pretenzijos gavimo dienos, sprendžiami teisme, vadovaujantis Lietuvos Respublikos įstatymais, pagal Duomenų valdytojo registruotos buveinės vietą.</w:t>
      </w:r>
    </w:p>
    <w:p>
      <w:pPr>
        <w:pStyle w:val="BodyText"/>
        <w:tabs>
          <w:tab w:val="clear" w:pos="1296"/>
          <w:tab w:val="left" w:pos="426" w:leader="none"/>
        </w:tabs>
        <w:spacing w:lineRule="auto" w:line="240" w:before="0" w:after="0"/>
        <w:ind w:firstLine="567"/>
        <w:jc w:val="both"/>
        <w:rPr>
          <w:rFonts w:ascii="Times New Roman" w:hAnsi="Times New Roman"/>
          <w:szCs w:val="24"/>
        </w:rPr>
      </w:pPr>
      <w:r>
        <w:rPr>
          <w:rFonts w:ascii="Times New Roman" w:hAnsi="Times New Roman"/>
          <w:szCs w:val="24"/>
        </w:rPr>
      </w:r>
    </w:p>
    <w:p>
      <w:pPr>
        <w:pStyle w:val="BodyText"/>
        <w:tabs>
          <w:tab w:val="clear" w:pos="1296"/>
          <w:tab w:val="left" w:pos="426" w:leader="none"/>
          <w:tab w:val="left" w:pos="907" w:leader="none"/>
        </w:tabs>
        <w:spacing w:lineRule="auto" w:line="240" w:before="0" w:after="0"/>
        <w:ind w:hanging="426" w:left="426"/>
        <w:rPr>
          <w:rFonts w:ascii="Times New Roman" w:hAnsi="Times New Roman"/>
          <w:szCs w:val="24"/>
        </w:rPr>
      </w:pPr>
      <w:r>
        <w:rPr>
          <w:rFonts w:ascii="Times New Roman" w:hAnsi="Times New Roman"/>
          <w:szCs w:val="24"/>
        </w:rPr>
      </w:r>
    </w:p>
    <w:p>
      <w:pPr>
        <w:pStyle w:val="Normal"/>
        <w:tabs>
          <w:tab w:val="clear" w:pos="1296"/>
          <w:tab w:val="left" w:pos="426" w:leader="none"/>
        </w:tabs>
        <w:spacing w:lineRule="auto" w:line="240" w:before="0" w:after="0"/>
        <w:jc w:val="center"/>
        <w:rPr>
          <w:b/>
          <w:bCs/>
          <w:caps/>
          <w:szCs w:val="24"/>
        </w:rPr>
      </w:pPr>
      <w:r>
        <w:rPr>
          <w:b/>
          <w:bCs/>
          <w:caps/>
          <w:szCs w:val="24"/>
        </w:rPr>
        <w:t>VII. Susitarimo galiojimas ir keitimas</w:t>
      </w:r>
    </w:p>
    <w:p>
      <w:pPr>
        <w:pStyle w:val="Normal"/>
        <w:tabs>
          <w:tab w:val="clear" w:pos="1296"/>
          <w:tab w:val="left" w:pos="426" w:leader="none"/>
        </w:tabs>
        <w:spacing w:lineRule="auto" w:line="240" w:before="0" w:after="0"/>
        <w:jc w:val="center"/>
        <w:rPr>
          <w:b/>
          <w:bCs/>
          <w:caps/>
          <w:szCs w:val="24"/>
        </w:rPr>
      </w:pPr>
      <w:r>
        <w:rPr>
          <w:b/>
          <w:bCs/>
          <w:caps/>
          <w:szCs w:val="24"/>
        </w:rPr>
      </w:r>
    </w:p>
    <w:p>
      <w:pPr>
        <w:pStyle w:val="BodyText"/>
        <w:tabs>
          <w:tab w:val="clear" w:pos="1296"/>
          <w:tab w:val="left" w:pos="426" w:leader="none"/>
        </w:tabs>
        <w:spacing w:before="0" w:after="0"/>
        <w:ind w:firstLine="1298"/>
        <w:jc w:val="both"/>
        <w:rPr>
          <w:rFonts w:ascii="Times New Roman" w:hAnsi="Times New Roman"/>
          <w:szCs w:val="24"/>
        </w:rPr>
      </w:pPr>
      <w:r>
        <w:rPr>
          <w:rFonts w:eastAsia="Times New Roman" w:ascii="Times New Roman" w:hAnsi="Times New Roman"/>
          <w:szCs w:val="24"/>
        </w:rPr>
        <w:t>31. Susitarimas įsigalioja nuo pasirašymo datos ir galioja tol, kol galioja arba yra taikoma Sutartis, taip pat pasibaigus Sutarčiai tiek, kiek reikia tinkamai atlikti likusius su duomenų tvarkymu susijusius įsipareigojimus</w:t>
      </w:r>
      <w:r>
        <w:rPr>
          <w:rFonts w:ascii="Times New Roman" w:hAnsi="Times New Roman"/>
          <w:szCs w:val="24"/>
        </w:rPr>
        <w:t>.</w:t>
      </w:r>
    </w:p>
    <w:p>
      <w:pPr>
        <w:pStyle w:val="BodyText"/>
        <w:tabs>
          <w:tab w:val="clear" w:pos="1296"/>
          <w:tab w:val="left" w:pos="426" w:leader="none"/>
        </w:tabs>
        <w:spacing w:before="0" w:after="0"/>
        <w:ind w:firstLine="1298"/>
        <w:jc w:val="both"/>
        <w:rPr>
          <w:rFonts w:ascii="Times New Roman" w:hAnsi="Times New Roman"/>
          <w:szCs w:val="24"/>
        </w:rPr>
      </w:pPr>
      <w:r>
        <w:rPr>
          <w:rFonts w:ascii="Times New Roman" w:hAnsi="Times New Roman"/>
          <w:szCs w:val="24"/>
        </w:rPr>
        <w:t>32. 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pPr>
        <w:pStyle w:val="BodyText"/>
        <w:tabs>
          <w:tab w:val="clear" w:pos="1296"/>
          <w:tab w:val="left" w:pos="426" w:leader="none"/>
        </w:tabs>
        <w:spacing w:before="0" w:after="0"/>
        <w:ind w:firstLine="1298"/>
        <w:jc w:val="both"/>
        <w:rPr>
          <w:rFonts w:ascii="Times New Roman" w:hAnsi="Times New Roman"/>
          <w:szCs w:val="24"/>
        </w:rPr>
      </w:pPr>
      <w:r>
        <w:rPr>
          <w:rFonts w:ascii="Times New Roman" w:hAnsi="Times New Roman"/>
          <w:szCs w:val="24"/>
        </w:rPr>
        <w:t>33. Visi Sutarimo pakeitimai, priedai ir papildymai galioja, jei jie yra sudaryti raštu, patvirtinti abiejų Šalių įgaliotų atstovų parašais ir neprieštarauja Lietuvos Respublikos įstatymams ir norminiams aktams.</w:t>
      </w:r>
    </w:p>
    <w:p>
      <w:pPr>
        <w:pStyle w:val="Normal"/>
        <w:tabs>
          <w:tab w:val="clear" w:pos="1296"/>
          <w:tab w:val="left" w:pos="426" w:leader="none"/>
        </w:tabs>
        <w:spacing w:lineRule="auto" w:line="240" w:before="0" w:after="0"/>
        <w:ind w:hanging="426" w:left="426"/>
        <w:rPr>
          <w:b/>
          <w:bCs/>
          <w:caps/>
          <w:szCs w:val="24"/>
        </w:rPr>
      </w:pPr>
      <w:r>
        <w:rPr>
          <w:b/>
          <w:bCs/>
          <w:caps/>
          <w:szCs w:val="24"/>
        </w:rPr>
      </w:r>
    </w:p>
    <w:p>
      <w:pPr>
        <w:pStyle w:val="Normal"/>
        <w:tabs>
          <w:tab w:val="clear" w:pos="1296"/>
          <w:tab w:val="left" w:pos="0" w:leader="none"/>
        </w:tabs>
        <w:spacing w:lineRule="auto" w:line="240" w:before="0" w:after="0"/>
        <w:jc w:val="center"/>
        <w:rPr>
          <w:b/>
          <w:bCs/>
          <w:caps/>
          <w:szCs w:val="24"/>
        </w:rPr>
      </w:pPr>
      <w:r>
        <w:rPr>
          <w:b/>
          <w:bCs/>
          <w:caps/>
          <w:szCs w:val="24"/>
        </w:rPr>
        <w:t>VIII. Nenugalimos jėgos aplinkybės (</w:t>
      </w:r>
      <w:r>
        <w:rPr>
          <w:b/>
          <w:bCs/>
          <w:i/>
          <w:caps/>
          <w:szCs w:val="24"/>
        </w:rPr>
        <w:t>Force majeure</w:t>
      </w:r>
      <w:r>
        <w:rPr>
          <w:b/>
          <w:bCs/>
          <w:caps/>
          <w:szCs w:val="24"/>
        </w:rPr>
        <w:t>)</w:t>
      </w:r>
    </w:p>
    <w:p>
      <w:pPr>
        <w:pStyle w:val="Normal"/>
        <w:tabs>
          <w:tab w:val="clear" w:pos="1296"/>
          <w:tab w:val="left" w:pos="0" w:leader="none"/>
        </w:tabs>
        <w:spacing w:lineRule="auto" w:line="240" w:before="0" w:after="0"/>
        <w:jc w:val="center"/>
        <w:rPr>
          <w:b/>
          <w:bCs/>
          <w:caps/>
          <w:szCs w:val="24"/>
        </w:rPr>
      </w:pPr>
      <w:r>
        <w:rPr>
          <w:b/>
          <w:bCs/>
          <w:caps/>
          <w:szCs w:val="24"/>
        </w:rPr>
      </w:r>
    </w:p>
    <w:p>
      <w:pPr>
        <w:pStyle w:val="BodyText"/>
        <w:tabs>
          <w:tab w:val="clear" w:pos="1296"/>
          <w:tab w:val="left" w:pos="426" w:leader="none"/>
        </w:tabs>
        <w:spacing w:before="0" w:after="0"/>
        <w:ind w:firstLine="1298"/>
        <w:jc w:val="both"/>
        <w:rPr>
          <w:rFonts w:ascii="Times New Roman" w:hAnsi="Times New Roman"/>
          <w:szCs w:val="24"/>
        </w:rPr>
      </w:pPr>
      <w:r>
        <w:rPr>
          <w:rFonts w:ascii="Times New Roman" w:hAnsi="Times New Roman"/>
          <w:szCs w:val="24"/>
        </w:rPr>
        <w:t>34. Nė viena iš Susitarimo Šalių neatsako už prisiimtų įsipareigojimų visišką ar dalinį neįvykdymą, jei ji įrodo, kad įsipareigojimų neįvykdė dėl nenugalimos jėgos (</w:t>
      </w:r>
      <w:r>
        <w:rPr>
          <w:rFonts w:ascii="Times New Roman" w:hAnsi="Times New Roman"/>
          <w:i/>
          <w:szCs w:val="24"/>
        </w:rPr>
        <w:t>Force majeure</w:t>
      </w:r>
      <w:r>
        <w:rPr>
          <w:rFonts w:ascii="Times New Roman" w:hAnsi="Times New Roman"/>
          <w:szCs w:val="24"/>
        </w:rPr>
        <w:t>) aplinkybių, vadovaudamasi Lietuvos Respublikos civilinio kodekso 6.212 straipsnio nustatyta tvarka.</w:t>
      </w:r>
    </w:p>
    <w:p>
      <w:pPr>
        <w:pStyle w:val="BodyText"/>
        <w:tabs>
          <w:tab w:val="clear" w:pos="1296"/>
          <w:tab w:val="left" w:pos="426" w:leader="none"/>
        </w:tabs>
        <w:spacing w:before="0" w:after="0"/>
        <w:ind w:firstLine="1298"/>
        <w:jc w:val="both"/>
        <w:rPr>
          <w:rFonts w:ascii="Times New Roman" w:hAnsi="Times New Roman"/>
          <w:szCs w:val="24"/>
        </w:rPr>
      </w:pPr>
      <w:r>
        <w:rPr>
          <w:rFonts w:ascii="Times New Roman" w:hAnsi="Times New Roman"/>
          <w:szCs w:val="24"/>
        </w:rPr>
        <w:t>35. Nenugalimos jėgos aplinkybėmis yra laikomos aplinkybės, nurodytos Atleidimo nuo atsakomybės esant Nenugalimos jėgos aplinkybėms taisyklėse, patvirtintose Lietuvos Respublikos Vyriausybės 1996 m. liepos 15 d. nutarimu Nr. 840.</w:t>
      </w:r>
    </w:p>
    <w:p>
      <w:pPr>
        <w:pStyle w:val="BodyText"/>
        <w:tabs>
          <w:tab w:val="clear" w:pos="1296"/>
          <w:tab w:val="left" w:pos="426" w:leader="none"/>
        </w:tabs>
        <w:spacing w:before="0" w:after="0"/>
        <w:ind w:firstLine="1298"/>
        <w:jc w:val="both"/>
        <w:rPr>
          <w:rFonts w:ascii="Times New Roman" w:hAnsi="Times New Roman"/>
          <w:szCs w:val="24"/>
        </w:rPr>
      </w:pPr>
      <w:r>
        <w:rPr>
          <w:rFonts w:ascii="Times New Roman" w:hAnsi="Times New Roman"/>
          <w:szCs w:val="24"/>
        </w:rPr>
        <w:t>36. Susitarimo šalis, negalinti įvykdyti Susitarime nurodytų įsipareigojimų, nedelsiant raštu, bet ne vėliau kaip per 5 darbo dienas nuo aplinkybių atsiradimo ar sužinojimo, apie jas praneša apie tai kitai Susitarimo šaliai.</w:t>
      </w:r>
    </w:p>
    <w:p>
      <w:pPr>
        <w:pStyle w:val="BodyText"/>
        <w:tabs>
          <w:tab w:val="clear" w:pos="1296"/>
          <w:tab w:val="left" w:pos="426" w:leader="none"/>
        </w:tabs>
        <w:spacing w:lineRule="auto" w:line="240" w:before="0" w:after="0"/>
        <w:jc w:val="both"/>
        <w:rPr>
          <w:rFonts w:ascii="Times New Roman" w:hAnsi="Times New Roman"/>
          <w:szCs w:val="24"/>
        </w:rPr>
      </w:pPr>
      <w:r>
        <w:rPr>
          <w:rFonts w:ascii="Times New Roman" w:hAnsi="Times New Roman"/>
          <w:szCs w:val="24"/>
        </w:rPr>
      </w:r>
    </w:p>
    <w:p>
      <w:pPr>
        <w:pStyle w:val="Normal"/>
        <w:tabs>
          <w:tab w:val="clear" w:pos="1296"/>
          <w:tab w:val="left" w:pos="426" w:leader="none"/>
        </w:tabs>
        <w:spacing w:lineRule="auto" w:line="240" w:before="0" w:after="0"/>
        <w:ind w:left="426"/>
        <w:jc w:val="center"/>
        <w:rPr>
          <w:b/>
          <w:bCs/>
          <w:caps/>
          <w:szCs w:val="24"/>
        </w:rPr>
      </w:pPr>
      <w:r>
        <w:rPr>
          <w:rFonts w:eastAsia="Times New Roman"/>
          <w:b/>
          <w:szCs w:val="24"/>
        </w:rPr>
        <w:t xml:space="preserve">IX. </w:t>
      </w:r>
      <w:r>
        <w:rPr>
          <w:b/>
          <w:bCs/>
          <w:caps/>
          <w:szCs w:val="24"/>
        </w:rPr>
        <w:t>Baigiamosios nuostatos</w:t>
      </w:r>
    </w:p>
    <w:p>
      <w:pPr>
        <w:pStyle w:val="Normal"/>
        <w:spacing w:lineRule="auto" w:line="240" w:before="0" w:after="0"/>
        <w:contextualSpacing/>
        <w:jc w:val="center"/>
        <w:rPr>
          <w:rFonts w:eastAsia="Times New Roman"/>
          <w:b/>
          <w:szCs w:val="24"/>
        </w:rPr>
      </w:pPr>
      <w:r>
        <w:rPr>
          <w:rFonts w:eastAsia="Times New Roman"/>
          <w:b/>
          <w:szCs w:val="24"/>
        </w:rPr>
      </w:r>
    </w:p>
    <w:p>
      <w:pPr>
        <w:pStyle w:val="Normal"/>
        <w:spacing w:before="0" w:after="0"/>
        <w:ind w:firstLine="1298"/>
        <w:jc w:val="both"/>
        <w:rPr>
          <w:rFonts w:eastAsia="Times New Roman"/>
          <w:szCs w:val="24"/>
        </w:rPr>
      </w:pPr>
      <w:r>
        <w:rPr>
          <w:rFonts w:eastAsia="Times New Roman"/>
          <w:szCs w:val="24"/>
        </w:rPr>
        <w:t>37. Susitarimas yra neatsiejama Sutarties dalis. Susitarimas nepakeičia jokių kitų Sutarties nuostatų, sąlygų ar terminų, išskyrus tuos atvejus, kurie specialiai aptarti šiame Susitarime.</w:t>
      </w:r>
    </w:p>
    <w:p>
      <w:pPr>
        <w:pStyle w:val="Normal"/>
        <w:spacing w:before="0" w:after="0"/>
        <w:ind w:firstLine="1298"/>
        <w:contextualSpacing/>
        <w:jc w:val="both"/>
        <w:rPr>
          <w:rFonts w:eastAsia="Times New Roman"/>
          <w:szCs w:val="24"/>
        </w:rPr>
      </w:pPr>
      <w:r>
        <w:rPr>
          <w:rFonts w:eastAsia="Times New Roman"/>
          <w:szCs w:val="24"/>
        </w:rPr>
        <w:t>38.</w:t>
      </w:r>
      <w:r>
        <w:rPr>
          <w:szCs w:val="24"/>
        </w:rPr>
        <w:t>Šio Susitarimo vykdymui ir aiškinimui taikomi Europos Sąjungos ir Lietuvos Respublikos teisės aktai, kurie yra taikomi Duomenų valdytojui ir Duomenų tvarkytojui</w:t>
      </w:r>
      <w:r>
        <w:rPr>
          <w:rFonts w:eastAsia="Times New Roman"/>
          <w:szCs w:val="24"/>
        </w:rPr>
        <w:t xml:space="preserve">. </w:t>
      </w:r>
    </w:p>
    <w:p>
      <w:pPr>
        <w:pStyle w:val="Normal"/>
        <w:spacing w:before="0" w:after="0"/>
        <w:ind w:firstLine="1298"/>
        <w:contextualSpacing/>
        <w:jc w:val="both"/>
        <w:rPr>
          <w:szCs w:val="24"/>
        </w:rPr>
      </w:pPr>
      <w:r>
        <w:rPr>
          <w:rFonts w:eastAsia="Times New Roman"/>
          <w:szCs w:val="24"/>
        </w:rPr>
        <w:t xml:space="preserve">39. </w:t>
      </w:r>
      <w:r>
        <w:rPr>
          <w:szCs w:val="24"/>
        </w:rPr>
        <w:t>Susitarimas sudaromas 2 egzemplioriais lietuvių kalba, po vieną kiekvienai šaliai. Abu Susitarimo egzemplioriai yra vienodos teisinės galios.</w:t>
      </w:r>
    </w:p>
    <w:p>
      <w:pPr>
        <w:pStyle w:val="Normal"/>
        <w:spacing w:lineRule="auto" w:line="240" w:before="0" w:after="0"/>
        <w:ind w:firstLine="567"/>
        <w:contextualSpacing/>
        <w:jc w:val="both"/>
        <w:rPr>
          <w:szCs w:val="24"/>
        </w:rPr>
      </w:pPr>
      <w:r>
        <w:rPr>
          <w:szCs w:val="24"/>
        </w:rPr>
      </w:r>
    </w:p>
    <w:p>
      <w:pPr>
        <w:pStyle w:val="Normal"/>
        <w:spacing w:lineRule="auto" w:line="240" w:before="0" w:after="0"/>
        <w:ind w:firstLine="567"/>
        <w:jc w:val="both"/>
        <w:rPr>
          <w:szCs w:val="24"/>
        </w:rPr>
      </w:pPr>
      <w:r>
        <w:rPr>
          <w:szCs w:val="24"/>
        </w:rPr>
      </w:r>
    </w:p>
    <w:p>
      <w:pPr>
        <w:pStyle w:val="ListParagraph"/>
        <w:spacing w:lineRule="auto" w:line="240" w:before="0" w:after="0"/>
        <w:ind w:left="0"/>
        <w:contextualSpacing/>
        <w:jc w:val="center"/>
        <w:rPr>
          <w:rFonts w:ascii="Times New Roman" w:hAnsi="Times New Roman"/>
          <w:sz w:val="24"/>
          <w:szCs w:val="24"/>
        </w:rPr>
      </w:pPr>
      <w:r>
        <w:rPr>
          <w:rFonts w:ascii="Times New Roman" w:hAnsi="Times New Roman"/>
          <w:b/>
          <w:sz w:val="24"/>
          <w:szCs w:val="24"/>
        </w:rPr>
        <w:t>X.</w:t>
      </w:r>
      <w:r>
        <w:rPr>
          <w:rFonts w:ascii="Times New Roman" w:hAnsi="Times New Roman"/>
          <w:b/>
          <w:bCs/>
          <w:caps/>
          <w:sz w:val="24"/>
          <w:szCs w:val="24"/>
        </w:rPr>
        <w:t>Šalių rekvizitai ir parašai</w:t>
      </w:r>
    </w:p>
    <w:tbl>
      <w:tblPr>
        <w:tblW w:w="9639" w:type="dxa"/>
        <w:jc w:val="left"/>
        <w:tblInd w:w="216" w:type="dxa"/>
        <w:tblLayout w:type="fixed"/>
        <w:tblCellMar>
          <w:top w:w="0" w:type="dxa"/>
          <w:left w:w="108" w:type="dxa"/>
          <w:bottom w:w="0" w:type="dxa"/>
          <w:right w:w="108" w:type="dxa"/>
        </w:tblCellMar>
        <w:tblLook w:val="0000"/>
      </w:tblPr>
      <w:tblGrid>
        <w:gridCol w:w="4500"/>
        <w:gridCol w:w="5138"/>
      </w:tblGrid>
      <w:tr>
        <w:trPr/>
        <w:tc>
          <w:tcPr>
            <w:tcW w:w="4500" w:type="dxa"/>
            <w:tcBorders/>
            <w:shd w:color="auto" w:fill="auto" w:val="clear"/>
          </w:tcPr>
          <w:p>
            <w:pPr>
              <w:pStyle w:val="Normal"/>
              <w:spacing w:lineRule="auto" w:line="240" w:before="0" w:after="0"/>
              <w:rPr>
                <w:rFonts w:eastAsia="Times New Roman"/>
                <w:b/>
                <w:bCs/>
                <w:szCs w:val="24"/>
              </w:rPr>
            </w:pPr>
            <w:r>
              <w:rPr>
                <w:rFonts w:eastAsia="Times New Roman"/>
                <w:b/>
                <w:bCs/>
                <w:szCs w:val="24"/>
              </w:rPr>
            </w:r>
          </w:p>
          <w:p>
            <w:pPr>
              <w:pStyle w:val="Normal"/>
              <w:spacing w:lineRule="auto" w:line="240" w:before="0" w:after="0"/>
              <w:rPr>
                <w:rFonts w:eastAsia="Times New Roman"/>
                <w:b/>
                <w:bCs/>
                <w:szCs w:val="24"/>
              </w:rPr>
            </w:pPr>
            <w:r>
              <w:rPr>
                <w:rFonts w:eastAsia="Times New Roman"/>
                <w:b/>
                <w:bCs/>
                <w:szCs w:val="24"/>
              </w:rPr>
              <w:t>Duomenų valdytojas</w:t>
            </w:r>
          </w:p>
          <w:p>
            <w:pPr>
              <w:pStyle w:val="Normal"/>
              <w:spacing w:lineRule="auto" w:line="240" w:before="0" w:after="0"/>
              <w:rPr>
                <w:rFonts w:eastAsia="Times New Roman"/>
                <w:b/>
                <w:bCs/>
                <w:szCs w:val="24"/>
              </w:rPr>
            </w:pPr>
            <w:r>
              <w:rPr>
                <w:rFonts w:eastAsia="Times New Roman"/>
                <w:b/>
                <w:bCs/>
                <w:szCs w:val="24"/>
              </w:rPr>
            </w:r>
          </w:p>
          <w:p>
            <w:pPr>
              <w:pStyle w:val="Normal"/>
              <w:spacing w:lineRule="auto" w:line="240" w:before="0" w:after="0"/>
              <w:jc w:val="both"/>
              <w:rPr>
                <w:rFonts w:eastAsia="Times New Roman"/>
                <w:szCs w:val="24"/>
              </w:rPr>
            </w:pPr>
            <w:r>
              <w:rPr>
                <w:bCs/>
                <w:szCs w:val="24"/>
              </w:rPr>
              <w:t>__________________________</w:t>
            </w:r>
          </w:p>
        </w:tc>
        <w:tc>
          <w:tcPr>
            <w:tcW w:w="5138" w:type="dxa"/>
            <w:tcBorders/>
            <w:shd w:color="auto" w:fill="auto" w:val="clear"/>
          </w:tcPr>
          <w:p>
            <w:pPr>
              <w:pStyle w:val="Normal"/>
              <w:spacing w:lineRule="auto" w:line="240" w:before="0" w:after="0"/>
              <w:rPr>
                <w:rFonts w:eastAsia="Times New Roman"/>
                <w:b/>
                <w:bCs/>
                <w:szCs w:val="24"/>
              </w:rPr>
            </w:pPr>
            <w:r>
              <w:rPr>
                <w:rFonts w:eastAsia="Times New Roman"/>
                <w:b/>
                <w:bCs/>
                <w:szCs w:val="24"/>
              </w:rPr>
            </w:r>
          </w:p>
          <w:p>
            <w:pPr>
              <w:pStyle w:val="Normal"/>
              <w:spacing w:lineRule="auto" w:line="240" w:before="0" w:after="0"/>
              <w:rPr>
                <w:rFonts w:eastAsia="Times New Roman"/>
                <w:b/>
                <w:bCs/>
                <w:szCs w:val="24"/>
              </w:rPr>
            </w:pPr>
            <w:r>
              <w:rPr>
                <w:rFonts w:eastAsia="Times New Roman"/>
                <w:b/>
                <w:bCs/>
                <w:szCs w:val="24"/>
              </w:rPr>
              <w:t>Duomenų tvarkytojas</w:t>
            </w:r>
          </w:p>
          <w:p>
            <w:pPr>
              <w:pStyle w:val="Normal"/>
              <w:spacing w:lineRule="auto" w:line="240" w:before="0" w:after="0"/>
              <w:rPr>
                <w:rFonts w:eastAsia="Times New Roman"/>
                <w:bCs/>
                <w:szCs w:val="24"/>
              </w:rPr>
            </w:pPr>
            <w:r>
              <w:rPr>
                <w:rFonts w:eastAsia="Times New Roman"/>
                <w:bCs/>
                <w:szCs w:val="24"/>
              </w:rPr>
            </w:r>
          </w:p>
          <w:p>
            <w:pPr>
              <w:pStyle w:val="Normal"/>
              <w:spacing w:lineRule="auto" w:line="240" w:before="0" w:after="0"/>
              <w:rPr>
                <w:rFonts w:eastAsia="Times New Roman"/>
                <w:szCs w:val="24"/>
              </w:rPr>
            </w:pPr>
            <w:r>
              <w:rPr>
                <w:rFonts w:eastAsia="Times New Roman"/>
                <w:bCs/>
                <w:szCs w:val="24"/>
              </w:rPr>
              <w:t>__________________</w:t>
            </w:r>
          </w:p>
          <w:p>
            <w:pPr>
              <w:pStyle w:val="Normal"/>
              <w:spacing w:lineRule="auto" w:line="240" w:before="0" w:after="0"/>
              <w:jc w:val="both"/>
              <w:rPr>
                <w:rFonts w:eastAsia="Times New Roman"/>
                <w:szCs w:val="24"/>
              </w:rPr>
            </w:pPr>
            <w:r>
              <w:rPr>
                <w:rFonts w:eastAsia="Times New Roman"/>
                <w:szCs w:val="24"/>
              </w:rPr>
            </w:r>
          </w:p>
          <w:p>
            <w:pPr>
              <w:pStyle w:val="Normal"/>
              <w:spacing w:lineRule="auto" w:line="240" w:before="0" w:after="0"/>
              <w:jc w:val="both"/>
              <w:rPr>
                <w:rFonts w:eastAsia="Times New Roman"/>
                <w:szCs w:val="24"/>
              </w:rPr>
            </w:pPr>
            <w:r>
              <w:rPr>
                <w:rFonts w:eastAsia="Times New Roman"/>
                <w:szCs w:val="24"/>
              </w:rPr>
            </w:r>
          </w:p>
          <w:p>
            <w:pPr>
              <w:pStyle w:val="Normal"/>
              <w:spacing w:lineRule="auto" w:line="240" w:before="0" w:after="0"/>
              <w:jc w:val="both"/>
              <w:rPr>
                <w:rFonts w:eastAsia="Times New Roman"/>
                <w:szCs w:val="24"/>
              </w:rPr>
            </w:pPr>
            <w:r>
              <w:rPr>
                <w:rFonts w:eastAsia="Times New Roman"/>
                <w:szCs w:val="24"/>
              </w:rPr>
            </w:r>
          </w:p>
        </w:tc>
      </w:tr>
      <w:tr>
        <w:trPr/>
        <w:tc>
          <w:tcPr>
            <w:tcW w:w="4500" w:type="dxa"/>
            <w:tcBorders/>
            <w:shd w:color="auto" w:fill="auto" w:val="clear"/>
          </w:tcPr>
          <w:p>
            <w:pPr>
              <w:pStyle w:val="Normal"/>
              <w:spacing w:lineRule="auto" w:line="240" w:before="0" w:after="0"/>
              <w:rPr>
                <w:rFonts w:eastAsia="Times New Roman"/>
                <w:b/>
                <w:bCs/>
                <w:szCs w:val="24"/>
              </w:rPr>
            </w:pPr>
            <w:r>
              <w:rPr>
                <w:rFonts w:eastAsia="Times New Roman"/>
                <w:b/>
                <w:bCs/>
                <w:szCs w:val="24"/>
              </w:rPr>
            </w:r>
          </w:p>
        </w:tc>
        <w:tc>
          <w:tcPr>
            <w:tcW w:w="5138" w:type="dxa"/>
            <w:tcBorders/>
            <w:shd w:color="auto" w:fill="auto" w:val="clear"/>
          </w:tcPr>
          <w:p>
            <w:pPr>
              <w:pStyle w:val="Normal"/>
              <w:spacing w:lineRule="auto" w:line="240" w:before="0" w:after="0"/>
              <w:rPr>
                <w:rFonts w:eastAsia="Times New Roman"/>
                <w:b/>
                <w:bCs/>
                <w:szCs w:val="24"/>
              </w:rPr>
            </w:pPr>
            <w:r>
              <w:rPr>
                <w:rFonts w:eastAsia="Times New Roman"/>
                <w:b/>
                <w:bCs/>
                <w:szCs w:val="24"/>
              </w:rPr>
            </w:r>
            <w:bookmarkStart w:id="77" w:name="_Hlk31017237"/>
            <w:bookmarkStart w:id="78" w:name="_Hlk31017237"/>
            <w:bookmarkEnd w:id="78"/>
          </w:p>
        </w:tc>
      </w:tr>
    </w:tbl>
    <w:p>
      <w:pPr>
        <w:pStyle w:val="Normal"/>
        <w:spacing w:lineRule="auto" w:line="240" w:before="0" w:after="0"/>
        <w:jc w:val="both"/>
        <w:rPr>
          <w:b/>
          <w:bCs/>
          <w:szCs w:val="24"/>
          <w:lang w:eastAsia="lt-LT"/>
        </w:rPr>
      </w:pPr>
      <w:r>
        <w:rPr>
          <w:b/>
          <w:bCs/>
          <w:szCs w:val="24"/>
          <w:lang w:eastAsia="lt-LT"/>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tabs>
          <w:tab w:val="clear" w:pos="1296"/>
          <w:tab w:val="left" w:pos="6096" w:leader="none"/>
        </w:tabs>
        <w:suppressAutoHyphens w:val="true"/>
        <w:spacing w:lineRule="auto" w:line="240" w:before="0" w:after="0"/>
        <w:ind w:left="6096"/>
        <w:rPr>
          <w:rFonts w:ascii="Times New Roman" w:hAnsi="Times New Roman" w:eastAsia="Calibri" w:cs="Times New Roman"/>
          <w:sz w:val="24"/>
          <w:szCs w:val="24"/>
          <w:lang w:eastAsia="ar-SA"/>
        </w:rPr>
      </w:pPr>
      <w:bookmarkStart w:id="79" w:name="_GoBack_Copy_1"/>
      <w:bookmarkEnd w:id="79"/>
      <w:r>
        <w:rPr>
          <w:rFonts w:eastAsia="Calibri" w:cs="Times New Roman" w:ascii="Times New Roman" w:hAnsi="Times New Roman"/>
          <w:sz w:val="24"/>
          <w:szCs w:val="24"/>
          <w:lang w:eastAsia="ar-SA"/>
        </w:rPr>
        <w:t xml:space="preserve">2026 m.                                     d.                                                                                                      sutarties Nr.         </w:t>
      </w:r>
    </w:p>
    <w:p>
      <w:pPr>
        <w:pStyle w:val="Normal"/>
        <w:tabs>
          <w:tab w:val="clear" w:pos="1296"/>
          <w:tab w:val="left" w:pos="6096" w:leader="none"/>
        </w:tabs>
        <w:suppressAutoHyphens w:val="true"/>
        <w:spacing w:lineRule="auto" w:line="240" w:before="0" w:after="0"/>
        <w:ind w:left="6096"/>
        <w:rPr>
          <w:rFonts w:ascii="Times New Roman" w:hAnsi="Times New Roman" w:eastAsia="Calibri" w:cs="Times New Roman"/>
          <w:sz w:val="24"/>
          <w:szCs w:val="24"/>
          <w:lang w:eastAsia="ar-SA"/>
        </w:rPr>
      </w:pPr>
      <w:r>
        <w:rPr>
          <w:rFonts w:eastAsia="Calibri" w:cs="Times New Roman" w:ascii="Times New Roman" w:hAnsi="Times New Roman"/>
          <w:sz w:val="24"/>
          <w:szCs w:val="24"/>
          <w:lang w:eastAsia="ar-SA"/>
        </w:rPr>
        <w:t>priedas Nr. 3</w:t>
      </w:r>
    </w:p>
    <w:p>
      <w:pPr>
        <w:pStyle w:val="Normal"/>
        <w:suppressAutoHyphens w:val="true"/>
        <w:spacing w:lineRule="auto" w:line="240" w:before="0" w:after="0"/>
        <w:ind w:left="5812"/>
        <w:rPr>
          <w:rFonts w:ascii="Times New Roman" w:hAnsi="Times New Roman" w:eastAsia="Calibri" w:cs="Times New Roman"/>
          <w:sz w:val="24"/>
          <w:szCs w:val="24"/>
          <w:lang w:eastAsia="ar-SA"/>
        </w:rPr>
      </w:pPr>
      <w:r>
        <w:rPr>
          <w:rFonts w:eastAsia="Calibri" w:cs="Times New Roman" w:ascii="Times New Roman" w:hAnsi="Times New Roman"/>
          <w:sz w:val="24"/>
          <w:szCs w:val="24"/>
          <w:lang w:eastAsia="ar-SA"/>
        </w:rPr>
      </w:r>
    </w:p>
    <w:p>
      <w:pPr>
        <w:pStyle w:val="Normal"/>
        <w:spacing w:lineRule="auto" w:line="240" w:before="0" w:after="0"/>
        <w:jc w:val="center"/>
        <w:rPr>
          <w:rFonts w:ascii="Times New Roman" w:hAnsi="Times New Roman" w:cs="Times New Roman"/>
          <w:b/>
          <w:bCs/>
          <w:iCs/>
          <w:sz w:val="24"/>
          <w:szCs w:val="24"/>
        </w:rPr>
      </w:pPr>
      <w:r>
        <w:rPr>
          <w:rFonts w:cs="Times New Roman" w:ascii="Times New Roman" w:hAnsi="Times New Roman"/>
          <w:bCs/>
          <w:iCs/>
          <w:sz w:val="24"/>
          <w:szCs w:val="24"/>
        </w:rPr>
        <w:t>Socialinių kortelių perdavimo–priėmimo aktasNr.__________</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_______________</w:t>
      </w:r>
    </w:p>
    <w:p>
      <w:pPr>
        <w:pStyle w:val="Normal"/>
        <w:spacing w:lineRule="auto" w:line="240" w:before="0" w:after="0"/>
        <w:jc w:val="center"/>
        <w:rPr>
          <w:rFonts w:ascii="Times New Roman" w:hAnsi="Times New Roman" w:cs="Times New Roman"/>
          <w:i/>
          <w:i/>
          <w:sz w:val="24"/>
          <w:szCs w:val="24"/>
        </w:rPr>
      </w:pPr>
      <w:r>
        <w:rPr>
          <w:rFonts w:cs="Times New Roman" w:ascii="Times New Roman" w:hAnsi="Times New Roman"/>
          <w:i/>
          <w:sz w:val="24"/>
          <w:szCs w:val="24"/>
        </w:rPr>
        <w:t>(įrašoma data)</w:t>
      </w:r>
    </w:p>
    <w:p>
      <w:pPr>
        <w:pStyle w:val="Normal"/>
        <w:spacing w:lineRule="auto" w:line="240" w:before="0" w:after="0"/>
        <w:jc w:val="center"/>
        <w:rPr>
          <w:rFonts w:ascii="Times New Roman" w:hAnsi="Times New Roman" w:cs="Times New Roman"/>
          <w:bCs/>
          <w:i/>
          <w:i/>
          <w:iCs/>
          <w:sz w:val="24"/>
          <w:szCs w:val="24"/>
        </w:rPr>
      </w:pPr>
      <w:r>
        <w:rPr>
          <w:rFonts w:cs="Times New Roman" w:ascii="Times New Roman" w:hAnsi="Times New Roman"/>
          <w:bCs/>
          <w:i/>
          <w:iCs/>
          <w:sz w:val="24"/>
          <w:szCs w:val="24"/>
        </w:rPr>
        <w:t>(Sudarymo vieta)</w:t>
      </w:r>
    </w:p>
    <w:p>
      <w:pPr>
        <w:pStyle w:val="Normal"/>
        <w:spacing w:lineRule="auto" w:line="240" w:before="0" w:after="0"/>
        <w:rPr>
          <w:rFonts w:ascii="Times New Roman" w:hAnsi="Times New Roman" w:cs="Times New Roman"/>
          <w:i/>
          <w:i/>
          <w:color w:val="000000"/>
          <w:sz w:val="24"/>
          <w:szCs w:val="24"/>
        </w:rPr>
      </w:pPr>
      <w:r>
        <w:rPr>
          <w:rFonts w:cs="Times New Roman" w:ascii="Times New Roman" w:hAnsi="Times New Roman"/>
          <w:i/>
          <w:color w:val="000000"/>
          <w:sz w:val="24"/>
          <w:szCs w:val="24"/>
        </w:rPr>
      </w:r>
    </w:p>
    <w:tbl>
      <w:tblPr>
        <w:tblW w:w="9665" w:type="dxa"/>
        <w:jc w:val="left"/>
        <w:tblInd w:w="109" w:type="dxa"/>
        <w:tblLayout w:type="fixed"/>
        <w:tblCellMar>
          <w:top w:w="0" w:type="dxa"/>
          <w:left w:w="108" w:type="dxa"/>
          <w:bottom w:w="0" w:type="dxa"/>
          <w:right w:w="108" w:type="dxa"/>
        </w:tblCellMar>
        <w:tblLook w:val="0000"/>
      </w:tblPr>
      <w:tblGrid>
        <w:gridCol w:w="9665"/>
      </w:tblGrid>
      <w:tr>
        <w:trPr>
          <w:trHeight w:val="570" w:hRule="atLeast"/>
        </w:trPr>
        <w:tc>
          <w:tcPr>
            <w:tcW w:w="9665" w:type="dxa"/>
            <w:tcBorders>
              <w:top w:val="single" w:sz="6" w:space="0" w:color="000000"/>
              <w:left w:val="single" w:sz="6" w:space="0" w:color="000000"/>
              <w:bottom w:val="single" w:sz="6" w:space="0" w:color="000000"/>
              <w:right w:val="single" w:sz="6" w:space="0" w:color="000000"/>
            </w:tcBorders>
          </w:tcPr>
          <w:p>
            <w:pPr>
              <w:pStyle w:val="Normal"/>
              <w:spacing w:lineRule="auto" w:line="240" w:before="0" w:after="0"/>
              <w:ind w:firstLine="60"/>
              <w:rPr>
                <w:rFonts w:ascii="Times New Roman" w:hAnsi="Times New Roman" w:cs="Times New Roman"/>
                <w:sz w:val="24"/>
                <w:szCs w:val="24"/>
              </w:rPr>
            </w:pPr>
            <w:r>
              <w:rPr>
                <w:rFonts w:cs="Times New Roman" w:ascii="Times New Roman" w:hAnsi="Times New Roman"/>
                <w:sz w:val="24"/>
                <w:szCs w:val="24"/>
              </w:rPr>
              <w:t>Pirkėjas:</w:t>
            </w:r>
          </w:p>
        </w:tc>
      </w:tr>
      <w:tr>
        <w:trPr>
          <w:trHeight w:val="570" w:hRule="atLeast"/>
        </w:trPr>
        <w:tc>
          <w:tcPr>
            <w:tcW w:w="9665" w:type="dxa"/>
            <w:tcBorders>
              <w:top w:val="single" w:sz="6" w:space="0" w:color="000000"/>
              <w:left w:val="single" w:sz="6" w:space="0" w:color="000000"/>
              <w:bottom w:val="single" w:sz="6" w:space="0" w:color="000000"/>
              <w:right w:val="single" w:sz="6" w:space="0" w:color="000000"/>
            </w:tcBorders>
          </w:tcPr>
          <w:p>
            <w:pPr>
              <w:pStyle w:val="Normal"/>
              <w:spacing w:lineRule="auto" w:line="240" w:before="0" w:after="0"/>
              <w:ind w:firstLine="60"/>
              <w:rPr>
                <w:rFonts w:ascii="Times New Roman" w:hAnsi="Times New Roman" w:cs="Times New Roman"/>
                <w:sz w:val="24"/>
                <w:szCs w:val="24"/>
              </w:rPr>
            </w:pPr>
            <w:r>
              <w:rPr>
                <w:rFonts w:cs="Times New Roman" w:ascii="Times New Roman" w:hAnsi="Times New Roman"/>
                <w:sz w:val="24"/>
                <w:szCs w:val="24"/>
              </w:rPr>
              <w:t>Paslaugų teikėjas:</w:t>
            </w:r>
          </w:p>
          <w:p>
            <w:pPr>
              <w:pStyle w:val="Normal"/>
              <w:spacing w:lineRule="auto" w:line="240" w:before="0" w:after="0"/>
              <w:ind w:firstLine="60"/>
              <w:jc w:val="both"/>
              <w:rPr>
                <w:rFonts w:ascii="Times New Roman" w:hAnsi="Times New Roman" w:cs="Times New Roman"/>
                <w:color w:val="000000"/>
                <w:sz w:val="24"/>
                <w:szCs w:val="24"/>
              </w:rPr>
            </w:pPr>
            <w:r>
              <w:rPr>
                <w:rFonts w:cs="Times New Roman" w:ascii="Times New Roman" w:hAnsi="Times New Roman"/>
                <w:color w:val="000000"/>
                <w:sz w:val="24"/>
                <w:szCs w:val="24"/>
              </w:rPr>
              <w:t>(jei tai tiekėjų grupė, nurodyti: (</w:t>
            </w:r>
            <w:r>
              <w:rPr>
                <w:rFonts w:cs="Times New Roman" w:ascii="Times New Roman" w:hAnsi="Times New Roman"/>
                <w:i/>
                <w:color w:val="000000"/>
                <w:sz w:val="24"/>
                <w:szCs w:val="24"/>
              </w:rPr>
              <w:t>jungtinės veiklos sutarties pagrindu veikianti tiekėjų grupė, sudaryta iš: (nurodyti visų ūkio subjektų pavadinimus), atstovaujamas atsakingojo partnerio (nurodyti atsakingojo partnerio pavadinimą),</w:t>
            </w:r>
          </w:p>
        </w:tc>
      </w:tr>
      <w:tr>
        <w:trPr>
          <w:trHeight w:val="480" w:hRule="atLeast"/>
        </w:trPr>
        <w:tc>
          <w:tcPr>
            <w:tcW w:w="9665" w:type="dxa"/>
            <w:tcBorders>
              <w:top w:val="single" w:sz="6" w:space="0" w:color="000000"/>
              <w:left w:val="single" w:sz="6" w:space="0" w:color="000000"/>
              <w:bottom w:val="single" w:sz="6" w:space="0" w:color="000000"/>
              <w:right w:val="single" w:sz="6" w:space="0" w:color="000000"/>
            </w:tcBorders>
          </w:tcPr>
          <w:p>
            <w:pPr>
              <w:pStyle w:val="Normal"/>
              <w:spacing w:lineRule="auto" w:line="240" w:before="0" w:after="0"/>
              <w:ind w:firstLine="60"/>
              <w:rPr>
                <w:rFonts w:ascii="Times New Roman" w:hAnsi="Times New Roman" w:cs="Times New Roman"/>
                <w:color w:val="000000"/>
                <w:sz w:val="24"/>
                <w:szCs w:val="24"/>
              </w:rPr>
            </w:pPr>
            <w:r>
              <w:rPr>
                <w:rFonts w:cs="Times New Roman" w:ascii="Times New Roman" w:hAnsi="Times New Roman"/>
                <w:color w:val="000000"/>
                <w:sz w:val="24"/>
                <w:szCs w:val="24"/>
              </w:rPr>
              <w:t>Sutarties Nr.:</w:t>
            </w:r>
          </w:p>
          <w:p>
            <w:pPr>
              <w:pStyle w:val="Normal"/>
              <w:spacing w:lineRule="auto" w:line="240" w:before="0" w:after="0"/>
              <w:ind w:firstLine="60"/>
              <w:rPr>
                <w:rFonts w:ascii="Times New Roman" w:hAnsi="Times New Roman" w:cs="Times New Roman"/>
                <w:color w:val="000000"/>
                <w:sz w:val="24"/>
                <w:szCs w:val="24"/>
              </w:rPr>
            </w:pPr>
            <w:r>
              <w:rPr>
                <w:rFonts w:cs="Times New Roman" w:ascii="Times New Roman" w:hAnsi="Times New Roman"/>
                <w:color w:val="000000"/>
                <w:sz w:val="24"/>
                <w:szCs w:val="24"/>
              </w:rPr>
            </w:r>
          </w:p>
        </w:tc>
      </w:tr>
      <w:tr>
        <w:trPr>
          <w:trHeight w:val="480" w:hRule="atLeast"/>
        </w:trPr>
        <w:tc>
          <w:tcPr>
            <w:tcW w:w="9665" w:type="dxa"/>
            <w:tcBorders>
              <w:top w:val="single" w:sz="6" w:space="0" w:color="000000"/>
              <w:left w:val="single" w:sz="6" w:space="0" w:color="000000"/>
              <w:bottom w:val="single" w:sz="6" w:space="0" w:color="000000"/>
              <w:right w:val="single" w:sz="6" w:space="0" w:color="000000"/>
            </w:tcBorders>
          </w:tcPr>
          <w:p>
            <w:pPr>
              <w:pStyle w:val="Normal"/>
              <w:spacing w:lineRule="auto" w:line="240" w:before="0" w:after="0"/>
              <w:ind w:firstLine="60"/>
              <w:rPr>
                <w:rFonts w:ascii="Times New Roman" w:hAnsi="Times New Roman" w:cs="Times New Roman"/>
                <w:color w:val="000000"/>
                <w:sz w:val="24"/>
                <w:szCs w:val="24"/>
              </w:rPr>
            </w:pPr>
            <w:r>
              <w:rPr>
                <w:rFonts w:cs="Times New Roman" w:ascii="Times New Roman" w:hAnsi="Times New Roman"/>
                <w:color w:val="000000"/>
                <w:sz w:val="24"/>
                <w:szCs w:val="24"/>
              </w:rPr>
              <w:t>Sutarties pavadinimas: Socialinių kortelių gaminimo ir aptarnavimo paslaugų sutartis</w:t>
            </w:r>
          </w:p>
          <w:p>
            <w:pPr>
              <w:pStyle w:val="Normal"/>
              <w:spacing w:lineRule="auto" w:line="240" w:before="0" w:after="0"/>
              <w:ind w:firstLine="60"/>
              <w:rPr>
                <w:rFonts w:ascii="Times New Roman" w:hAnsi="Times New Roman" w:cs="Times New Roman"/>
                <w:color w:val="000000"/>
                <w:sz w:val="24"/>
                <w:szCs w:val="24"/>
              </w:rPr>
            </w:pPr>
            <w:r>
              <w:rPr>
                <w:rFonts w:cs="Times New Roman" w:ascii="Times New Roman" w:hAnsi="Times New Roman"/>
                <w:color w:val="000000"/>
                <w:sz w:val="24"/>
                <w:szCs w:val="24"/>
              </w:rPr>
            </w:r>
          </w:p>
        </w:tc>
      </w:tr>
    </w:tbl>
    <w:p>
      <w:pPr>
        <w:pStyle w:val="ListParagraph"/>
        <w:tabs>
          <w:tab w:val="clear" w:pos="1296"/>
          <w:tab w:val="left" w:pos="993" w:leader="none"/>
        </w:tabs>
        <w:spacing w:lineRule="auto" w:line="240" w:before="0" w:after="0"/>
        <w:ind w:firstLine="567" w:left="0" w:right="-129"/>
        <w:contextualSpacing/>
        <w:jc w:val="both"/>
        <w:rPr>
          <w:rFonts w:ascii="Times New Roman" w:hAnsi="Times New Roman" w:cs="Times New Roman"/>
          <w:b/>
          <w:sz w:val="24"/>
          <w:szCs w:val="24"/>
        </w:rPr>
      </w:pPr>
      <w:r>
        <w:rPr>
          <w:rFonts w:cs="Times New Roman" w:ascii="Times New Roman" w:hAnsi="Times New Roman"/>
          <w:b/>
          <w:sz w:val="24"/>
          <w:szCs w:val="24"/>
        </w:rPr>
      </w:r>
    </w:p>
    <w:p>
      <w:pPr>
        <w:pStyle w:val="ListParagraph"/>
        <w:tabs>
          <w:tab w:val="clear" w:pos="1296"/>
          <w:tab w:val="left" w:pos="993" w:leader="none"/>
        </w:tabs>
        <w:spacing w:lineRule="auto" w:line="240" w:before="0" w:after="0"/>
        <w:ind w:firstLine="567" w:left="0" w:right="-129"/>
        <w:contextualSpacing/>
        <w:jc w:val="both"/>
        <w:rPr>
          <w:rFonts w:ascii="Times New Roman" w:hAnsi="Times New Roman" w:cs="Times New Roman"/>
          <w:sz w:val="24"/>
          <w:szCs w:val="24"/>
        </w:rPr>
      </w:pPr>
      <w:r>
        <w:rPr>
          <w:rFonts w:cs="Times New Roman" w:ascii="Times New Roman" w:hAnsi="Times New Roman"/>
          <w:b/>
          <w:sz w:val="24"/>
          <w:szCs w:val="24"/>
        </w:rPr>
        <w:t>Paslaugų teikėjas</w:t>
      </w:r>
      <w:r>
        <w:rPr>
          <w:rFonts w:cs="Times New Roman" w:ascii="Times New Roman" w:hAnsi="Times New Roman"/>
          <w:sz w:val="24"/>
          <w:szCs w:val="24"/>
        </w:rPr>
        <w:t xml:space="preserve"> šiuo Socialinių kortelių  perdavimo–priėmimo aktu patvirtina, kad jis Pirkėjui perduoda šias Socialines korteles:</w:t>
      </w:r>
    </w:p>
    <w:p>
      <w:pPr>
        <w:pStyle w:val="ListParagraph"/>
        <w:tabs>
          <w:tab w:val="clear" w:pos="1296"/>
          <w:tab w:val="left" w:pos="993" w:leader="none"/>
        </w:tabs>
        <w:spacing w:lineRule="auto" w:line="240" w:before="0" w:after="0"/>
        <w:ind w:left="0" w:right="-129"/>
        <w:contextualSpacing/>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_________________________________________________________________________________</w:t>
      </w:r>
    </w:p>
    <w:p>
      <w:pPr>
        <w:pStyle w:val="ListParagraph"/>
        <w:tabs>
          <w:tab w:val="clear" w:pos="1296"/>
          <w:tab w:val="left" w:pos="993" w:leader="none"/>
        </w:tabs>
        <w:spacing w:lineRule="auto" w:line="240" w:before="0" w:after="0"/>
        <w:ind w:left="0" w:right="-129"/>
        <w:contextualSpacing/>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_________________________________________________________________________________</w:t>
      </w:r>
    </w:p>
    <w:p>
      <w:pPr>
        <w:pStyle w:val="ListParagraph"/>
        <w:tabs>
          <w:tab w:val="clear" w:pos="1296"/>
          <w:tab w:val="left" w:pos="993" w:leader="none"/>
        </w:tabs>
        <w:spacing w:lineRule="auto" w:line="240" w:before="0" w:after="0"/>
        <w:ind w:left="0" w:right="-129"/>
        <w:contextualSpacing/>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_________________________________________________________________________________</w:t>
      </w:r>
    </w:p>
    <w:p>
      <w:pPr>
        <w:pStyle w:val="ListParagraph"/>
        <w:tabs>
          <w:tab w:val="clear" w:pos="1296"/>
          <w:tab w:val="left" w:pos="993" w:leader="none"/>
        </w:tabs>
        <w:spacing w:lineRule="auto" w:line="240" w:before="0" w:after="0"/>
        <w:ind w:firstLine="567" w:left="0" w:right="-129"/>
        <w:contextualSpacing/>
        <w:jc w:val="both"/>
        <w:rPr>
          <w:rFonts w:ascii="Times New Roman" w:hAnsi="Times New Roman" w:cs="Times New Roman"/>
          <w:b/>
          <w:sz w:val="24"/>
          <w:szCs w:val="24"/>
        </w:rPr>
      </w:pPr>
      <w:r>
        <w:rPr>
          <w:rFonts w:cs="Times New Roman" w:ascii="Times New Roman" w:hAnsi="Times New Roman"/>
          <w:b/>
          <w:sz w:val="24"/>
          <w:szCs w:val="24"/>
        </w:rPr>
      </w:r>
    </w:p>
    <w:p>
      <w:pPr>
        <w:pStyle w:val="ListParagraph"/>
        <w:tabs>
          <w:tab w:val="clear" w:pos="1296"/>
          <w:tab w:val="left" w:pos="993" w:leader="none"/>
        </w:tabs>
        <w:spacing w:lineRule="auto" w:line="240" w:before="0" w:after="0"/>
        <w:ind w:firstLine="567" w:left="0" w:right="-129"/>
        <w:contextualSpacing/>
        <w:jc w:val="both"/>
        <w:rPr>
          <w:rFonts w:ascii="Times New Roman" w:hAnsi="Times New Roman" w:cs="Times New Roman"/>
          <w:b/>
          <w:i/>
          <w:i/>
          <w:sz w:val="24"/>
          <w:szCs w:val="24"/>
        </w:rPr>
      </w:pPr>
      <w:r>
        <w:rPr>
          <w:rFonts w:cs="Times New Roman" w:ascii="Times New Roman" w:hAnsi="Times New Roman"/>
          <w:b/>
          <w:sz w:val="24"/>
          <w:szCs w:val="24"/>
        </w:rPr>
        <w:t xml:space="preserve">Pirkėjas: </w:t>
      </w:r>
    </w:p>
    <w:p>
      <w:pPr>
        <w:pStyle w:val="ListParagraph"/>
        <w:tabs>
          <w:tab w:val="clear" w:pos="1296"/>
          <w:tab w:val="left" w:pos="993" w:leader="none"/>
        </w:tabs>
        <w:spacing w:lineRule="auto" w:line="240" w:before="0" w:after="0"/>
        <w:ind w:firstLine="567" w:left="0" w:right="-129"/>
        <w:contextualSpacing/>
        <w:jc w:val="both"/>
        <w:rPr>
          <w:rFonts w:ascii="Times New Roman" w:hAnsi="Times New Roman" w:cs="Times New Roman"/>
          <w:i/>
          <w:i/>
          <w:sz w:val="24"/>
          <w:szCs w:val="24"/>
        </w:rPr>
      </w:pPr>
      <w:r>
        <w:fldChar w:fldCharType="begin">
          <w:ffData>
            <w:name w:val="Check1"/>
            <w:enabled/>
            <w:calcOnExit w:val="0"/>
            <w:checkBox>
              <w:sizeAuto/>
            </w:checkBox>
          </w:ffData>
        </w:fldChar>
      </w:r>
      <w:r>
        <w:rPr>
          <w:sz w:val="24"/>
          <w:szCs w:val="24"/>
          <w:rFonts w:cs="Times New Roman" w:ascii="Times New Roman" w:hAnsi="Times New Roman"/>
        </w:rPr>
        <w:instrText xml:space="preserve"> FORMCHECKBOX </w:instrText>
      </w:r>
      <w:r>
        <w:rPr>
          <w:sz w:val="24"/>
          <w:szCs w:val="24"/>
          <w:rFonts w:cs="Times New Roman" w:ascii="Times New Roman" w:hAnsi="Times New Roman"/>
        </w:rPr>
        <w:fldChar w:fldCharType="separate"/>
      </w:r>
      <w:bookmarkStart w:id="80" w:name="Check1"/>
      <w:bookmarkStart w:id="81" w:name="Check1"/>
      <w:bookmarkEnd w:id="81"/>
      <w:r>
        <w:rPr>
          <w:rFonts w:cs="Times New Roman" w:ascii="Times New Roman" w:hAnsi="Times New Roman"/>
          <w:sz w:val="24"/>
          <w:szCs w:val="24"/>
        </w:rPr>
      </w:r>
      <w:r>
        <w:rPr>
          <w:sz w:val="24"/>
          <w:szCs w:val="24"/>
          <w:rFonts w:cs="Times New Roman" w:ascii="Times New Roman" w:hAnsi="Times New Roman"/>
        </w:rPr>
        <w:fldChar w:fldCharType="end"/>
      </w:r>
      <w:r>
        <w:rPr>
          <w:rFonts w:cs="Times New Roman" w:ascii="Times New Roman" w:hAnsi="Times New Roman"/>
          <w:sz w:val="24"/>
          <w:szCs w:val="24"/>
        </w:rPr>
        <w:t xml:space="preserve"> Priima ir patvirtina, kad Paslaugos suteiktos tinkamai ir laiku ir, laikantis Sutartyje, įskaitant jos prieduose, nustatytų reikalavimų.</w:t>
      </w:r>
    </w:p>
    <w:p>
      <w:pPr>
        <w:pStyle w:val="ListParagraph"/>
        <w:tabs>
          <w:tab w:val="clear" w:pos="1296"/>
          <w:tab w:val="left" w:pos="993" w:leader="none"/>
        </w:tabs>
        <w:spacing w:lineRule="auto" w:line="240" w:before="0" w:after="0"/>
        <w:ind w:firstLine="567" w:left="0" w:right="-129"/>
        <w:contextualSpacing/>
        <w:jc w:val="both"/>
        <w:rPr>
          <w:rFonts w:ascii="Times New Roman" w:hAnsi="Times New Roman" w:cs="Times New Roman"/>
          <w:i/>
          <w:i/>
          <w:sz w:val="24"/>
          <w:szCs w:val="24"/>
        </w:rPr>
      </w:pPr>
      <w:r>
        <w:fldChar w:fldCharType="begin">
          <w:ffData>
            <w:name w:val="Check1 Copy 1"/>
            <w:enabled/>
            <w:calcOnExit w:val="0"/>
            <w:checkBox>
              <w:sizeAuto/>
            </w:checkBox>
          </w:ffData>
        </w:fldChar>
      </w:r>
      <w:r>
        <w:rPr>
          <w:sz w:val="24"/>
          <w:szCs w:val="24"/>
          <w:rFonts w:cs="Times New Roman" w:ascii="Times New Roman" w:hAnsi="Times New Roman"/>
        </w:rPr>
        <w:instrText xml:space="preserve"> FORMCHECKBOX </w:instrText>
      </w:r>
      <w:r>
        <w:rPr>
          <w:sz w:val="24"/>
          <w:szCs w:val="24"/>
          <w:rFonts w:cs="Times New Roman" w:ascii="Times New Roman" w:hAnsi="Times New Roman"/>
        </w:rPr>
        <w:fldChar w:fldCharType="separate"/>
      </w:r>
      <w:bookmarkStart w:id="82" w:name="Check1_Copy_1"/>
      <w:bookmarkStart w:id="83" w:name="Check1_Copy_1"/>
      <w:bookmarkEnd w:id="83"/>
      <w:r>
        <w:rPr>
          <w:rFonts w:cs="Times New Roman" w:ascii="Times New Roman" w:hAnsi="Times New Roman"/>
          <w:sz w:val="24"/>
          <w:szCs w:val="24"/>
        </w:rPr>
      </w:r>
      <w:r>
        <w:rPr>
          <w:sz w:val="24"/>
          <w:szCs w:val="24"/>
          <w:rFonts w:cs="Times New Roman" w:ascii="Times New Roman" w:hAnsi="Times New Roman"/>
        </w:rPr>
        <w:fldChar w:fldCharType="end"/>
      </w:r>
      <w:bookmarkStart w:id="84" w:name="Check1_Copy_1_Copy_1"/>
      <w:bookmarkStart w:id="85" w:name="Check1_Copy_1_Copy_1"/>
      <w:bookmarkStart w:id="86" w:name="Check1_Copy_1"/>
      <w:bookmarkEnd w:id="84"/>
      <w:bookmarkEnd w:id="85"/>
      <w:bookmarkEnd w:id="86"/>
      <w:r>
        <w:rPr>
          <w:rFonts w:cs="Times New Roman" w:ascii="Times New Roman" w:hAnsi="Times New Roman"/>
          <w:sz w:val="24"/>
          <w:szCs w:val="24"/>
        </w:rPr>
        <w:t xml:space="preserve"> Paslaugos suteiktos kokybiškai, tačiau praleidus Sutartyje nustatytą terminą.</w:t>
      </w:r>
    </w:p>
    <w:p>
      <w:pPr>
        <w:pStyle w:val="ListParagraph"/>
        <w:tabs>
          <w:tab w:val="clear" w:pos="1296"/>
          <w:tab w:val="left" w:pos="993" w:leader="none"/>
        </w:tabs>
        <w:spacing w:lineRule="auto" w:line="240" w:before="0" w:after="0"/>
        <w:ind w:firstLine="567" w:left="0" w:right="-129"/>
        <w:contextualSpacing/>
        <w:rPr>
          <w:rFonts w:ascii="Times New Roman" w:hAnsi="Times New Roman" w:cs="Times New Roman"/>
          <w:i/>
          <w:i/>
          <w:sz w:val="24"/>
          <w:szCs w:val="24"/>
        </w:rPr>
      </w:pPr>
      <w:r>
        <w:fldChar w:fldCharType="begin">
          <w:ffData>
            <w:name w:val="Check1 Copy 2"/>
            <w:enabled/>
            <w:calcOnExit w:val="0"/>
            <w:checkBox>
              <w:sizeAuto/>
            </w:checkBox>
          </w:ffData>
        </w:fldChar>
      </w:r>
      <w:r>
        <w:rPr>
          <w:sz w:val="24"/>
          <w:szCs w:val="24"/>
          <w:rFonts w:cs="Times New Roman" w:ascii="Times New Roman" w:hAnsi="Times New Roman"/>
        </w:rPr>
        <w:instrText xml:space="preserve"> FORMCHECKBOX </w:instrText>
      </w:r>
      <w:r>
        <w:rPr>
          <w:sz w:val="24"/>
          <w:szCs w:val="24"/>
          <w:rFonts w:cs="Times New Roman" w:ascii="Times New Roman" w:hAnsi="Times New Roman"/>
        </w:rPr>
        <w:fldChar w:fldCharType="separate"/>
      </w:r>
      <w:bookmarkStart w:id="87" w:name="Check1_Copy_2"/>
      <w:bookmarkStart w:id="88" w:name="Check1_Copy_2"/>
      <w:bookmarkEnd w:id="88"/>
      <w:r>
        <w:rPr>
          <w:rFonts w:cs="Times New Roman" w:ascii="Times New Roman" w:hAnsi="Times New Roman"/>
          <w:sz w:val="24"/>
          <w:szCs w:val="24"/>
        </w:rPr>
      </w:r>
      <w:r>
        <w:rPr>
          <w:sz w:val="24"/>
          <w:szCs w:val="24"/>
          <w:rFonts w:cs="Times New Roman" w:ascii="Times New Roman" w:hAnsi="Times New Roman"/>
        </w:rPr>
        <w:fldChar w:fldCharType="end"/>
      </w:r>
      <w:bookmarkStart w:id="89" w:name="Check1_Copy_2_Copy_1"/>
      <w:bookmarkStart w:id="90" w:name="Check1_Copy_2_Copy_1"/>
      <w:bookmarkStart w:id="91" w:name="Check1_Copy_2"/>
      <w:bookmarkEnd w:id="89"/>
      <w:bookmarkEnd w:id="90"/>
      <w:bookmarkEnd w:id="91"/>
      <w:r>
        <w:rPr>
          <w:rFonts w:cs="Times New Roman" w:ascii="Times New Roman" w:hAnsi="Times New Roman"/>
          <w:sz w:val="24"/>
          <w:szCs w:val="24"/>
        </w:rPr>
        <w:t>Priima su šiais nustatytais Paslaugų trūkumais/neatitikimais: __________________________________________________________________________________________________________________________________________________________________</w:t>
      </w:r>
    </w:p>
    <w:p>
      <w:pPr>
        <w:pStyle w:val="Normal"/>
        <w:tabs>
          <w:tab w:val="clear" w:pos="1296"/>
          <w:tab w:val="left" w:pos="1985" w:leader="none"/>
        </w:tabs>
        <w:spacing w:lineRule="auto" w:line="240" w:before="0" w:after="0"/>
        <w:ind w:firstLine="567"/>
        <w:rPr>
          <w:rFonts w:ascii="Times New Roman" w:hAnsi="Times New Roman" w:cs="Times New Roman"/>
          <w:sz w:val="24"/>
          <w:szCs w:val="24"/>
        </w:rPr>
      </w:pPr>
      <w:r>
        <w:fldChar w:fldCharType="begin">
          <w:ffData>
            <w:name w:val="Check1 Copy 3"/>
            <w:enabled/>
            <w:calcOnExit w:val="0"/>
            <w:checkBox>
              <w:sizeAuto/>
            </w:checkBox>
          </w:ffData>
        </w:fldChar>
      </w:r>
      <w:r>
        <w:rPr>
          <w:sz w:val="24"/>
          <w:szCs w:val="24"/>
          <w:rFonts w:cs="Times New Roman" w:ascii="Times New Roman" w:hAnsi="Times New Roman"/>
        </w:rPr>
        <w:instrText xml:space="preserve"> FORMCHECKBOX </w:instrText>
      </w:r>
      <w:r>
        <w:rPr>
          <w:sz w:val="24"/>
          <w:szCs w:val="24"/>
          <w:rFonts w:cs="Times New Roman" w:ascii="Times New Roman" w:hAnsi="Times New Roman"/>
        </w:rPr>
        <w:fldChar w:fldCharType="separate"/>
      </w:r>
      <w:bookmarkStart w:id="92" w:name="Check1_Copy_3"/>
      <w:bookmarkStart w:id="93" w:name="Check1_Copy_3"/>
      <w:bookmarkEnd w:id="93"/>
      <w:r>
        <w:rPr>
          <w:rFonts w:cs="Times New Roman" w:ascii="Times New Roman" w:hAnsi="Times New Roman"/>
          <w:sz w:val="24"/>
          <w:szCs w:val="24"/>
        </w:rPr>
      </w:r>
      <w:r>
        <w:rPr>
          <w:sz w:val="24"/>
          <w:szCs w:val="24"/>
          <w:rFonts w:cs="Times New Roman" w:ascii="Times New Roman" w:hAnsi="Times New Roman"/>
        </w:rPr>
        <w:fldChar w:fldCharType="end"/>
      </w:r>
      <w:bookmarkStart w:id="94" w:name="Check1_Copy_3_Copy_1"/>
      <w:bookmarkStart w:id="95" w:name="Check1_Copy_3_Copy_1"/>
      <w:bookmarkStart w:id="96" w:name="Check1_Copy_3"/>
      <w:bookmarkEnd w:id="94"/>
      <w:bookmarkEnd w:id="95"/>
      <w:bookmarkEnd w:id="96"/>
      <w:r>
        <w:rPr>
          <w:rFonts w:cs="Times New Roman" w:ascii="Times New Roman" w:hAnsi="Times New Roman"/>
          <w:sz w:val="24"/>
          <w:szCs w:val="24"/>
        </w:rPr>
        <w:t>Nepriima ir grąžina socialines korteles dėl nustatytų Paslaugų trūkumų/neatitikimų:</w:t>
      </w:r>
    </w:p>
    <w:p>
      <w:pPr>
        <w:pStyle w:val="Normal"/>
        <w:tabs>
          <w:tab w:val="clear" w:pos="1296"/>
          <w:tab w:val="left" w:pos="1985" w:leader="none"/>
        </w:tabs>
        <w:spacing w:lineRule="auto" w:line="240" w:before="0" w:after="0"/>
        <w:rPr>
          <w:rFonts w:ascii="Times New Roman" w:hAnsi="Times New Roman" w:cs="Times New Roman"/>
          <w:b/>
          <w:bCs/>
          <w:iCs/>
          <w:sz w:val="24"/>
          <w:szCs w:val="24"/>
        </w:rPr>
      </w:pPr>
      <w:r>
        <w:rPr>
          <w:rFonts w:cs="Times New Roman" w:ascii="Times New Roman" w:hAnsi="Times New Roman"/>
          <w:sz w:val="24"/>
          <w:szCs w:val="24"/>
        </w:rPr>
        <w:t>________________________________________________________________________________________________________________________________________________________________</w:t>
      </w:r>
    </w:p>
    <w:p>
      <w:pPr>
        <w:pStyle w:val="Normal"/>
        <w:spacing w:lineRule="auto" w:line="240" w:before="0" w:after="0"/>
        <w:jc w:val="both"/>
        <w:rPr>
          <w:rFonts w:ascii="Times New Roman" w:hAnsi="Times New Roman" w:cs="Times New Roman"/>
          <w:bCs/>
          <w:iCs/>
          <w:sz w:val="24"/>
          <w:szCs w:val="24"/>
        </w:rPr>
      </w:pPr>
      <w:r>
        <w:rPr>
          <w:rFonts w:cs="Times New Roman" w:ascii="Times New Roman" w:hAnsi="Times New Roman"/>
          <w:bCs/>
          <w:iCs/>
          <w:sz w:val="24"/>
          <w:szCs w:val="24"/>
        </w:rPr>
        <w:t xml:space="preserve">Paslaugos teikėjas įpareigojamas </w:t>
      </w:r>
      <w:r>
        <w:rPr>
          <w:rFonts w:cs="Times New Roman" w:ascii="Times New Roman" w:hAnsi="Times New Roman"/>
          <w:bCs/>
          <w:i/>
          <w:iCs/>
          <w:sz w:val="24"/>
          <w:szCs w:val="24"/>
        </w:rPr>
        <w:t>iki/per</w:t>
      </w:r>
      <w:r>
        <w:rPr>
          <w:rFonts w:cs="Times New Roman" w:ascii="Times New Roman" w:hAnsi="Times New Roman"/>
          <w:bCs/>
          <w:iCs/>
          <w:sz w:val="24"/>
          <w:szCs w:val="24"/>
        </w:rPr>
        <w:t xml:space="preserve"> _______________________________ darbo dienas pašalinti visus šiame akte ir jo prieduose nurodytus trūkumus/neatitikimus. </w:t>
      </w:r>
    </w:p>
    <w:p>
      <w:pPr>
        <w:pStyle w:val="Normal"/>
        <w:spacing w:lineRule="auto" w:line="240" w:before="0" w:after="0"/>
        <w:jc w:val="both"/>
        <w:rPr>
          <w:rFonts w:ascii="Times New Roman" w:hAnsi="Times New Roman" w:cs="Times New Roman"/>
          <w:bCs/>
          <w:iCs/>
          <w:sz w:val="24"/>
          <w:szCs w:val="24"/>
        </w:rPr>
      </w:pPr>
      <w:r>
        <w:rPr>
          <w:rFonts w:cs="Times New Roman" w:ascii="Times New Roman" w:hAnsi="Times New Roman"/>
          <w:bCs/>
          <w:iCs/>
          <w:sz w:val="24"/>
          <w:szCs w:val="24"/>
        </w:rPr>
      </w:r>
    </w:p>
    <w:p>
      <w:pPr>
        <w:pStyle w:val="Normal"/>
        <w:spacing w:lineRule="auto" w:line="240" w:before="0" w:after="0"/>
        <w:jc w:val="both"/>
        <w:rPr>
          <w:rFonts w:ascii="Times New Roman" w:hAnsi="Times New Roman" w:cs="Times New Roman"/>
          <w:bCs/>
          <w:iCs/>
          <w:sz w:val="24"/>
          <w:szCs w:val="24"/>
        </w:rPr>
      </w:pPr>
      <w:r>
        <w:rPr>
          <w:rFonts w:cs="Times New Roman" w:ascii="Times New Roman" w:hAnsi="Times New Roman"/>
          <w:bCs/>
          <w:iCs/>
          <w:sz w:val="24"/>
          <w:szCs w:val="24"/>
        </w:rPr>
        <w:t>Šis aktas pasirašytas 1 egzemplioriumi. Jei Pirkėjas priima socialines korteles, tai pasirašytąakto kopiją išsiunčia Paslaugų teikėjui el. paštu. Jei Pirkėjas socialinių kortelių nepriima, tai pasirašytą aktą kartu su socialinėmis kortelėmis registruota siunta išsiunčia Paslaugų teikėjui.</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bl>
      <w:tblPr>
        <w:tblW w:w="9665" w:type="dxa"/>
        <w:jc w:val="left"/>
        <w:tblInd w:w="109" w:type="dxa"/>
        <w:tblLayout w:type="fixed"/>
        <w:tblCellMar>
          <w:top w:w="0" w:type="dxa"/>
          <w:left w:w="108" w:type="dxa"/>
          <w:bottom w:w="0" w:type="dxa"/>
          <w:right w:w="108" w:type="dxa"/>
        </w:tblCellMar>
        <w:tblLook w:val="0000"/>
      </w:tblPr>
      <w:tblGrid>
        <w:gridCol w:w="5129"/>
        <w:gridCol w:w="4535"/>
      </w:tblGrid>
      <w:tr>
        <w:trPr>
          <w:trHeight w:val="270" w:hRule="atLeast"/>
        </w:trPr>
        <w:tc>
          <w:tcPr>
            <w:tcW w:w="5129" w:type="dxa"/>
            <w:tcBorders>
              <w:top w:val="single" w:sz="6" w:space="0" w:color="000000"/>
              <w:left w:val="single" w:sz="6" w:space="0" w:color="000000"/>
              <w:right w:val="single" w:sz="6"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Perdavė</w:t>
            </w:r>
          </w:p>
        </w:tc>
        <w:tc>
          <w:tcPr>
            <w:tcW w:w="4535" w:type="dxa"/>
            <w:tcBorders>
              <w:top w:val="single" w:sz="6" w:space="0" w:color="000000"/>
              <w:left w:val="single" w:sz="6" w:space="0" w:color="000000"/>
              <w:right w:val="single" w:sz="6"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Priėmė/nepriėmė</w:t>
            </w:r>
          </w:p>
        </w:tc>
      </w:tr>
      <w:tr>
        <w:trPr>
          <w:trHeight w:val="375" w:hRule="atLeast"/>
        </w:trPr>
        <w:tc>
          <w:tcPr>
            <w:tcW w:w="5129" w:type="dxa"/>
            <w:tcBorders>
              <w:left w:val="single" w:sz="6" w:space="0" w:color="000000"/>
              <w:bottom w:val="single" w:sz="6" w:space="0" w:color="000000"/>
              <w:right w:val="single" w:sz="6"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Paslaugų teikėjo atstovas</w:t>
            </w:r>
          </w:p>
        </w:tc>
        <w:tc>
          <w:tcPr>
            <w:tcW w:w="4535" w:type="dxa"/>
            <w:tcBorders>
              <w:left w:val="single" w:sz="6" w:space="0" w:color="000000"/>
              <w:bottom w:val="single" w:sz="6" w:space="0" w:color="000000"/>
              <w:right w:val="single" w:sz="6"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Pirkėjo atstovas</w:t>
            </w:r>
          </w:p>
        </w:tc>
      </w:tr>
      <w:tr>
        <w:trPr>
          <w:trHeight w:val="285" w:hRule="atLeast"/>
        </w:trPr>
        <w:tc>
          <w:tcPr>
            <w:tcW w:w="5129" w:type="dxa"/>
            <w:tcBorders>
              <w:top w:val="single" w:sz="6" w:space="0" w:color="000000"/>
              <w:left w:val="single" w:sz="6" w:space="0" w:color="000000"/>
              <w:right w:val="single" w:sz="6" w:space="0" w:color="000000"/>
            </w:tcBorders>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4"/>
                <w:szCs w:val="24"/>
              </w:rPr>
              <w:t>(Data)</w:t>
            </w:r>
          </w:p>
        </w:tc>
        <w:tc>
          <w:tcPr>
            <w:tcW w:w="4535" w:type="dxa"/>
            <w:tcBorders>
              <w:top w:val="single" w:sz="6" w:space="0" w:color="000000"/>
              <w:left w:val="single" w:sz="6" w:space="0" w:color="000000"/>
              <w:right w:val="single" w:sz="6" w:space="0" w:color="000000"/>
            </w:tcBorders>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4"/>
                <w:szCs w:val="24"/>
              </w:rPr>
              <w:t>(Data)</w:t>
            </w:r>
          </w:p>
        </w:tc>
      </w:tr>
      <w:tr>
        <w:trPr>
          <w:trHeight w:val="285" w:hRule="atLeast"/>
        </w:trPr>
        <w:tc>
          <w:tcPr>
            <w:tcW w:w="5129" w:type="dxa"/>
            <w:tcBorders>
              <w:left w:val="single" w:sz="6" w:space="0" w:color="000000"/>
              <w:right w:val="single" w:sz="6" w:space="0" w:color="000000"/>
            </w:tcBorders>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4"/>
                <w:szCs w:val="24"/>
              </w:rPr>
              <w:t>(Parašas)</w:t>
            </w:r>
          </w:p>
        </w:tc>
        <w:tc>
          <w:tcPr>
            <w:tcW w:w="4535" w:type="dxa"/>
            <w:tcBorders>
              <w:left w:val="single" w:sz="6" w:space="0" w:color="000000"/>
              <w:right w:val="single" w:sz="6" w:space="0" w:color="000000"/>
            </w:tcBorders>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4"/>
                <w:szCs w:val="24"/>
              </w:rPr>
              <w:t>(Parašas)</w:t>
            </w:r>
          </w:p>
        </w:tc>
      </w:tr>
      <w:tr>
        <w:trPr>
          <w:trHeight w:val="310" w:hRule="atLeast"/>
        </w:trPr>
        <w:tc>
          <w:tcPr>
            <w:tcW w:w="5129" w:type="dxa"/>
            <w:tcBorders>
              <w:left w:val="single" w:sz="6" w:space="0" w:color="000000"/>
              <w:right w:val="single" w:sz="6" w:space="0" w:color="000000"/>
            </w:tcBorders>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4"/>
                <w:szCs w:val="24"/>
              </w:rPr>
              <w:t>(Vardas, pavardė)</w:t>
            </w:r>
          </w:p>
        </w:tc>
        <w:tc>
          <w:tcPr>
            <w:tcW w:w="4535" w:type="dxa"/>
            <w:tcBorders>
              <w:left w:val="single" w:sz="6" w:space="0" w:color="000000"/>
              <w:right w:val="single" w:sz="6" w:space="0" w:color="000000"/>
            </w:tcBorders>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4"/>
                <w:szCs w:val="24"/>
              </w:rPr>
              <w:t>(Vardas, pavardė)</w:t>
            </w:r>
          </w:p>
        </w:tc>
      </w:tr>
      <w:tr>
        <w:trPr>
          <w:trHeight w:val="310" w:hRule="atLeast"/>
        </w:trPr>
        <w:tc>
          <w:tcPr>
            <w:tcW w:w="5129" w:type="dxa"/>
            <w:tcBorders>
              <w:left w:val="single" w:sz="6" w:space="0" w:color="000000"/>
              <w:bottom w:val="single" w:sz="6" w:space="0" w:color="000000"/>
              <w:right w:val="single" w:sz="6" w:space="0" w:color="000000"/>
            </w:tcBorders>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4"/>
                <w:szCs w:val="24"/>
              </w:rPr>
              <w:t>(Pareigos)</w:t>
            </w:r>
          </w:p>
        </w:tc>
        <w:tc>
          <w:tcPr>
            <w:tcW w:w="4535" w:type="dxa"/>
            <w:tcBorders>
              <w:left w:val="single" w:sz="6" w:space="0" w:color="000000"/>
              <w:bottom w:val="single" w:sz="6" w:space="0" w:color="000000"/>
              <w:right w:val="single" w:sz="6" w:space="0" w:color="000000"/>
            </w:tcBorders>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4"/>
                <w:szCs w:val="24"/>
              </w:rPr>
              <w:t>(Pareigos)</w:t>
            </w:r>
          </w:p>
        </w:tc>
      </w:tr>
    </w:tbl>
    <w:p>
      <w:pPr>
        <w:pStyle w:val="Normal"/>
        <w:tabs>
          <w:tab w:val="clear" w:pos="1296"/>
          <w:tab w:val="left" w:pos="720" w:leader="none"/>
        </w:tabs>
        <w:spacing w:lineRule="auto" w:line="240" w:before="0" w:after="0"/>
        <w:rPr>
          <w:rFonts w:ascii="Times New Roman" w:hAnsi="Times New Roman" w:cs="Times New Roman"/>
          <w:sz w:val="24"/>
          <w:szCs w:val="24"/>
          <w:lang w:val="en-US"/>
        </w:rPr>
      </w:pPr>
      <w:r>
        <w:rPr>
          <w:rFonts w:cs="Times New Roman" w:ascii="Times New Roman" w:hAnsi="Times New Roman"/>
          <w:sz w:val="24"/>
          <w:szCs w:val="24"/>
          <w:lang w:val="en-US"/>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sectPr>
      <w:footerReference w:type="even" r:id="rId10"/>
      <w:footerReference w:type="default" r:id="rId11"/>
      <w:footerReference w:type="first" r:id="rId12"/>
      <w:footnotePr>
        <w:numFmt w:val="decimal"/>
      </w:footnotePr>
      <w:type w:val="nextPage"/>
      <w:pgSz w:w="12240" w:h="15840"/>
      <w:pgMar w:left="1701" w:right="567" w:gutter="0" w:header="0" w:top="1134" w:footer="720" w:bottom="1134"/>
      <w:pgNumType w:fmt="decimal"/>
      <w:formProt w:val="false"/>
      <w:textDirection w:val="lrTb"/>
      <w:docGrid w:type="default" w:linePitch="312" w:charSpace="1802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Courier New">
    <w:charset w:val="00"/>
    <w:family w:val="roman"/>
    <w:pitch w:val="variable"/>
  </w:font>
  <w:font w:name="Liberation Sans">
    <w:altName w:val="Arial"/>
    <w:charset w:val="00"/>
    <w:family w:val="roman"/>
    <w:pitch w:val="variable"/>
  </w:font>
  <w:font w:name="Montserrat">
    <w:charset w:val="00"/>
    <w:family w:val="roman"/>
    <w:pitch w:val="variable"/>
  </w:font>
  <w:font w:name="Liberation Mono">
    <w:altName w:val="Courier New"/>
    <w:charset w:val="00"/>
    <w:family w:val="roman"/>
    <w:pitch w:val="variable"/>
  </w:font>
  <w:font w:name="TimesLT">
    <w:charset w:val="00"/>
    <w:family w:val="roman"/>
    <w:pitch w:val="variable"/>
  </w:font>
  <w:font w:name="Arial">
    <w:charset w:val="00"/>
    <w:family w:val="roman"/>
    <w:pitch w:val="variable"/>
  </w:font>
  <w:font w:name="Verdana">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64937594"/>
    </w:sdtPr>
    <w:sdtContent>
      <w:p>
        <w:pPr>
          <w:pStyle w:val="Footer"/>
          <w:spacing w:before="0" w:after="160"/>
          <w:jc w:val="right"/>
          <w:rPr>
            <w:rFonts w:ascii="Arial" w:hAnsi="Arial" w:cs="Arial"/>
          </w:rPr>
        </w:pPr>
        <w:r>
          <w:rPr/>
          <w:fldChar w:fldCharType="begin"/>
        </w:r>
        <w:r>
          <w:rPr/>
          <w:instrText xml:space="preserve"> PAGE </w:instrText>
        </w:r>
        <w:r>
          <w:rPr/>
          <w:fldChar w:fldCharType="separate"/>
        </w:r>
        <w:r>
          <w:rPr/>
          <w:t>1</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64937594"/>
    </w:sdtPr>
    <w:sdtContent>
      <w:p>
        <w:pPr>
          <w:pStyle w:val="Footer"/>
          <w:spacing w:before="0" w:after="160"/>
          <w:jc w:val="right"/>
          <w:rPr>
            <w:rFonts w:ascii="Arial" w:hAnsi="Arial" w:cs="Arial"/>
          </w:rPr>
        </w:pPr>
        <w:r>
          <w:rPr/>
          <w:fldChar w:fldCharType="begin"/>
        </w:r>
        <w:r>
          <w:rPr/>
          <w:instrText xml:space="preserve"> PAGE </w:instrText>
        </w:r>
        <w:r>
          <w:rPr/>
          <w:fldChar w:fldCharType="separate"/>
        </w:r>
        <w:r>
          <w:rPr/>
          <w:t>1</w:t>
        </w:r>
        <w:r>
          <w:rP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i/>
          <w:iCs/>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4"/>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4"/>
        </w:numPr>
        <w:suppressAutoHyphens w:val="false"/>
        <w:spacing w:lineRule="auto" w:line="240" w:before="0" w:after="0"/>
        <w:jc w:val="both"/>
        <w:rPr>
          <w:rFonts w:ascii="Arial" w:hAnsi="Arial" w:eastAsia="Yu Mincho" w:cs="Arial"/>
          <w:sz w:val="18"/>
          <w:szCs w:val="18"/>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5"/>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5"/>
        </w:numPr>
        <w:suppressAutoHyphens w:val="false"/>
        <w:spacing w:lineRule="auto" w:line="240" w:before="0" w:after="0"/>
        <w:jc w:val="both"/>
        <w:rPr>
          <w:rFonts w:ascii="Calibri" w:hAnsi="Calibri" w:eastAsia="Yu Mincho" w:cs="Arial"/>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6"/>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6"/>
        </w:numPr>
        <w:suppressAutoHyphens w:val="false"/>
        <w:spacing w:lineRule="auto" w:line="240" w:before="0" w:after="0"/>
        <w:jc w:val="both"/>
        <w:rPr>
          <w:rFonts w:ascii="Arial" w:hAnsi="Arial" w:eastAsia="Yu Mincho" w:cs="Arial"/>
          <w:sz w:val="18"/>
          <w:szCs w:val="18"/>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szCs w:val="24"/>
        <w:bCs/>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isLgl/>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4">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suff w:val="space"/>
      <w:lvlText w:val="%1.%2.%3."/>
      <w:lvlJc w:val="left"/>
      <w:pPr>
        <w:tabs>
          <w:tab w:val="num" w:pos="0"/>
        </w:tabs>
        <w:ind w:left="2140" w:hanging="720"/>
      </w:pPr>
      <w:rPr>
        <w:i w:val="false"/>
        <w:iCs/>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5">
    <w:lvl w:ilvl="0">
      <w:start w:val="10"/>
      <w:numFmt w:val="decimal"/>
      <w:lvlText w:val="%1."/>
      <w:lvlJc w:val="left"/>
      <w:pPr>
        <w:tabs>
          <w:tab w:val="num" w:pos="0"/>
        </w:tabs>
        <w:ind w:left="444" w:hanging="444"/>
      </w:pPr>
      <w:rPr>
        <w:b w:val="false"/>
        <w:bCs w:val="false"/>
      </w:rPr>
    </w:lvl>
    <w:lvl w:ilvl="1">
      <w:start w:val="1"/>
      <w:numFmt w:val="decimal"/>
      <w:lvlText w:val="%1.%2."/>
      <w:lvlJc w:val="left"/>
      <w:pPr>
        <w:tabs>
          <w:tab w:val="num" w:pos="0"/>
        </w:tabs>
        <w:ind w:left="444" w:hanging="444"/>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
      <w:numFmt w:val="decimal"/>
      <w:lvlText w:val="6.%1."/>
      <w:lvlJc w:val="left"/>
      <w:pPr>
        <w:tabs>
          <w:tab w:val="num" w:pos="0"/>
        </w:tabs>
        <w:ind w:left="1287" w:hanging="360"/>
      </w:pPr>
      <w:rPr>
        <w:i w:val="false"/>
        <w:b w:val="false"/>
        <w:iCs w:val="false"/>
        <w:bCs/>
        <w:color w:val="auto"/>
      </w:rPr>
    </w:lvl>
    <w:lvl w:ilvl="1">
      <w:start w:val="1"/>
      <w:numFmt w:val="lowerLetter"/>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7">
    <w:lvl w:ilvl="0">
      <w:start w:val="3"/>
      <w:numFmt w:val="decimal"/>
      <w:lvlText w:val="%1."/>
      <w:lvlJc w:val="left"/>
      <w:pPr>
        <w:tabs>
          <w:tab w:val="num" w:pos="0"/>
        </w:tabs>
        <w:ind w:left="360" w:hanging="360"/>
      </w:pPr>
      <w:rPr/>
    </w:lvl>
    <w:lvl w:ilvl="1">
      <w:start w:val="1"/>
      <w:numFmt w:val="decimal"/>
      <w:lvlText w:val="%1.%2."/>
      <w:lvlJc w:val="left"/>
      <w:pPr>
        <w:tabs>
          <w:tab w:val="num" w:pos="1080"/>
        </w:tabs>
        <w:ind w:left="1800" w:hanging="360"/>
      </w:pPr>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680" w:hanging="1800"/>
      </w:pPr>
      <w:rPr/>
    </w:lvl>
  </w:abstractNum>
  <w:abstractNum w:abstractNumId="8">
    <w:lvl w:ilvl="0">
      <w:start w:val="4"/>
      <w:numFmt w:val="decimal"/>
      <w:lvlText w:val="%1."/>
      <w:lvlJc w:val="left"/>
      <w:pPr>
        <w:tabs>
          <w:tab w:val="num" w:pos="0"/>
        </w:tabs>
        <w:ind w:left="360" w:hanging="360"/>
      </w:pPr>
      <w:rPr/>
    </w:lvl>
    <w:lvl w:ilvl="1">
      <w:start w:val="1"/>
      <w:numFmt w:val="decimal"/>
      <w:lvlText w:val="%1.%2."/>
      <w:lvlJc w:val="left"/>
      <w:pPr>
        <w:tabs>
          <w:tab w:val="num" w:pos="0"/>
        </w:tabs>
        <w:ind w:left="1800" w:hanging="360"/>
      </w:pPr>
      <w:rPr/>
    </w:lvl>
    <w:lvl w:ilvl="2">
      <w:start w:val="1"/>
      <w:numFmt w:val="decimal"/>
      <w:lvlText w:val="%1.%2.%3."/>
      <w:lvlJc w:val="left"/>
      <w:pPr>
        <w:tabs>
          <w:tab w:val="num" w:pos="0"/>
        </w:tabs>
        <w:ind w:left="3600" w:hanging="720"/>
      </w:pPr>
      <w:rPr/>
    </w:lvl>
    <w:lvl w:ilvl="3">
      <w:start w:val="1"/>
      <w:numFmt w:val="decimal"/>
      <w:lvlText w:val="%1.%2.%3.%4."/>
      <w:lvlJc w:val="left"/>
      <w:pPr>
        <w:tabs>
          <w:tab w:val="num" w:pos="0"/>
        </w:tabs>
        <w:ind w:left="5040" w:hanging="720"/>
      </w:pPr>
      <w:rPr/>
    </w:lvl>
    <w:lvl w:ilvl="4">
      <w:start w:val="1"/>
      <w:numFmt w:val="decimal"/>
      <w:lvlText w:val="%1.%2.%3.%4.%5."/>
      <w:lvlJc w:val="left"/>
      <w:pPr>
        <w:tabs>
          <w:tab w:val="num" w:pos="0"/>
        </w:tabs>
        <w:ind w:left="6840" w:hanging="1080"/>
      </w:pPr>
      <w:rPr/>
    </w:lvl>
    <w:lvl w:ilvl="5">
      <w:start w:val="1"/>
      <w:numFmt w:val="decimal"/>
      <w:lvlText w:val="%1.%2.%3.%4.%5.%6."/>
      <w:lvlJc w:val="left"/>
      <w:pPr>
        <w:tabs>
          <w:tab w:val="num" w:pos="0"/>
        </w:tabs>
        <w:ind w:left="8280" w:hanging="1080"/>
      </w:pPr>
      <w:rPr/>
    </w:lvl>
    <w:lvl w:ilvl="6">
      <w:start w:val="1"/>
      <w:numFmt w:val="decimal"/>
      <w:lvlText w:val="%1.%2.%3.%4.%5.%6.%7."/>
      <w:lvlJc w:val="left"/>
      <w:pPr>
        <w:tabs>
          <w:tab w:val="num" w:pos="0"/>
        </w:tabs>
        <w:ind w:left="10080" w:hanging="1440"/>
      </w:pPr>
      <w:rPr/>
    </w:lvl>
    <w:lvl w:ilvl="7">
      <w:start w:val="1"/>
      <w:numFmt w:val="decimal"/>
      <w:lvlText w:val="%1.%2.%3.%4.%5.%6.%7.%8."/>
      <w:lvlJc w:val="left"/>
      <w:pPr>
        <w:tabs>
          <w:tab w:val="num" w:pos="0"/>
        </w:tabs>
        <w:ind w:left="11520" w:hanging="1440"/>
      </w:pPr>
      <w:rPr/>
    </w:lvl>
    <w:lvl w:ilvl="8">
      <w:start w:val="1"/>
      <w:numFmt w:val="decimal"/>
      <w:lvlText w:val="%1.%2.%3.%4.%5.%6.%7.%8.%9."/>
      <w:lvlJc w:val="left"/>
      <w:pPr>
        <w:tabs>
          <w:tab w:val="num" w:pos="0"/>
        </w:tabs>
        <w:ind w:left="13320" w:hanging="1800"/>
      </w:pPr>
      <w:rPr/>
    </w:lvl>
  </w:abstractNum>
  <w:abstractNum w:abstractNumId="9">
    <w:lvl w:ilvl="0">
      <w:start w:val="11"/>
      <w:numFmt w:val="decimal"/>
      <w:lvlText w:val="%1."/>
      <w:lvlJc w:val="left"/>
      <w:pPr>
        <w:tabs>
          <w:tab w:val="num" w:pos="0"/>
        </w:tabs>
        <w:ind w:left="468" w:hanging="468"/>
      </w:pPr>
      <w:rPr/>
    </w:lvl>
    <w:lvl w:ilvl="1">
      <w:start w:val="1"/>
      <w:numFmt w:val="decimal"/>
      <w:lvlText w:val="%1.%2."/>
      <w:lvlJc w:val="left"/>
      <w:pPr>
        <w:tabs>
          <w:tab w:val="num" w:pos="0"/>
        </w:tabs>
        <w:ind w:left="1035" w:hanging="468"/>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decimal"/>
      <w:suff w:val="space"/>
      <w:lvlText w:val="%1."/>
      <w:lvlJc w:val="left"/>
      <w:pPr>
        <w:tabs>
          <w:tab w:val="num" w:pos="0"/>
        </w:tabs>
        <w:ind w:left="360" w:hanging="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1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0"/>
        </w:tabs>
        <w:ind w:left="360" w:hanging="360"/>
      </w:pPr>
      <w:rPr>
        <w:sz w:val="24"/>
        <w:b/>
        <w:szCs w:val="24"/>
        <w:bCs/>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8">
    <w:lvl w:ilvl="0">
      <w:start w:val="1"/>
      <w:numFmt w:val="decimal"/>
      <w:suff w:val="space"/>
      <w:lvlText w:val="%1."/>
      <w:lvlJc w:val="left"/>
      <w:pPr>
        <w:tabs>
          <w:tab w:val="num" w:pos="0"/>
        </w:tabs>
        <w:ind w:left="1070" w:hanging="360"/>
      </w:pPr>
      <w:rPr>
        <w:sz w:val="24"/>
        <w:i w:val="false"/>
        <w:b w:val="false"/>
        <w:szCs w:val="24"/>
        <w:color w:val="auto"/>
      </w:rPr>
    </w:lvl>
    <w:lvl w:ilvl="1">
      <w:start w:val="1"/>
      <w:numFmt w:val="decimal"/>
      <w:suff w:val="space"/>
      <w:lvlText w:val="%1.%2."/>
      <w:lvlJc w:val="left"/>
      <w:pPr>
        <w:tabs>
          <w:tab w:val="num" w:pos="0"/>
        </w:tabs>
        <w:ind w:left="1425" w:hanging="432"/>
      </w:pPr>
      <w:rPr>
        <w:i w:val="false"/>
        <w:b w:val="false"/>
        <w:iCs w:val="false"/>
        <w:color w:val="auto"/>
      </w:rPr>
    </w:lvl>
    <w:lvl w:ilvl="2">
      <w:start w:val="1"/>
      <w:numFmt w:val="decimal"/>
      <w:suff w:val="space"/>
      <w:lvlText w:val="%1.%2.%3."/>
      <w:lvlJc w:val="left"/>
      <w:pPr>
        <w:tabs>
          <w:tab w:val="num" w:pos="0"/>
        </w:tabs>
        <w:ind w:left="1355" w:hanging="504"/>
      </w:pPr>
      <w:rPr>
        <w:color w:themeColor="text1" w:val="00000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suff w:val="space"/>
      <w:lvlText w:val="%1."/>
      <w:lvlJc w:val="left"/>
      <w:pPr>
        <w:tabs>
          <w:tab w:val="num" w:pos="0"/>
        </w:tabs>
        <w:ind w:left="1070" w:hanging="360"/>
      </w:pPr>
      <w:rPr>
        <w:sz w:val="24"/>
        <w:i w:val="false"/>
        <w:b w:val="false"/>
        <w:szCs w:val="24"/>
        <w:color w:val="auto"/>
      </w:rPr>
    </w:lvl>
    <w:lvl w:ilvl="1">
      <w:start w:val="1"/>
      <w:numFmt w:val="decimal"/>
      <w:suff w:val="space"/>
      <w:lvlText w:val="%1.%2."/>
      <w:lvlJc w:val="left"/>
      <w:pPr>
        <w:tabs>
          <w:tab w:val="num" w:pos="0"/>
        </w:tabs>
        <w:ind w:left="1425" w:hanging="432"/>
      </w:pPr>
      <w:rPr>
        <w:i w:val="false"/>
        <w:b w:val="false"/>
        <w:iCs w:val="false"/>
        <w:color w:val="auto"/>
      </w:rPr>
    </w:lvl>
    <w:lvl w:ilvl="2">
      <w:start w:val="1"/>
      <w:numFmt w:val="decimal"/>
      <w:suff w:val="space"/>
      <w:lvlText w:val="%1.%2.%3."/>
      <w:lvlJc w:val="left"/>
      <w:pPr>
        <w:tabs>
          <w:tab w:val="num" w:pos="0"/>
        </w:tabs>
        <w:ind w:left="1355" w:hanging="504"/>
      </w:pPr>
      <w:rPr>
        <w:color w:themeColor="text1" w:val="00000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1"/>
    <w:lvlOverride w:ilvl="0">
      <w:startOverride w:val="1"/>
    </w:lvlOverride>
  </w:num>
  <w:num w:numId="22">
    <w:abstractNumId w:val="18"/>
    <w:lvlOverride w:ilvl="0">
      <w:startOverride w:val="1"/>
    </w:lvlOverride>
  </w:num>
  <w:num w:numId="23">
    <w:abstractNumId w:val="18"/>
  </w:num>
</w:numbering>
</file>

<file path=word/settings.xml><?xml version="1.0" encoding="utf-8"?>
<w:settings xmlns:w="http://schemas.openxmlformats.org/wordprocessingml/2006/main">
  <w:zoom w:percent="140"/>
  <w:defaultTabStop w:val="1296"/>
  <w:autoHyphenation w:val="true"/>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23eb7"/>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Antrat1Diagrama"/>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PuslapioinaostekstasDiagrama" w:customStyle="1">
    <w:name w:val="Puslapio išnašos tekstas Diagrama"/>
    <w:basedOn w:val="DefaultParagraphFont"/>
    <w:uiPriority w:val="99"/>
    <w:qFormat/>
    <w:rsid w:val="00d05666"/>
    <w:rPr>
      <w:rFonts w:ascii="Times New Roman" w:hAnsi="Times New Roman"/>
      <w:sz w:val="20"/>
      <w:szCs w:val="20"/>
      <w:lang w:eastAsia="en-US"/>
    </w:rPr>
  </w:style>
  <w:style w:type="character" w:styleId="KomentarotekstasDiagrama" w:customStyle="1">
    <w:name w:val="Komentaro tekstas Diagrama"/>
    <w:basedOn w:val="DefaultParagraphFont"/>
    <w:link w:val="Annotationtext"/>
    <w:qFormat/>
    <w:rsid w:val="00d05666"/>
    <w:rPr>
      <w:rFonts w:ascii="Times New Roman" w:hAnsi="Times New Roman"/>
      <w:sz w:val="20"/>
      <w:szCs w:val="20"/>
      <w:lang w:eastAsia="en-US"/>
    </w:rPr>
  </w:style>
  <w:style w:type="character" w:styleId="PaantratDiagrama" w:customStyle="1">
    <w:name w:val="Paantraštė Diagrama"/>
    <w:basedOn w:val="DefaultParagraphFont"/>
    <w:qFormat/>
    <w:rsid w:val="00eb164f"/>
    <w:rPr>
      <w:caps/>
      <w:color w:themeColor="text1" w:themeTint="bf" w:val="404040"/>
      <w:spacing w:val="20"/>
      <w:sz w:val="28"/>
      <w:szCs w:val="28"/>
    </w:rPr>
  </w:style>
  <w:style w:type="character" w:styleId="SraopastraipaDiagrama" w:customStyle="1">
    <w:name w:val="Sąrašo pastraipa Diagrama"/>
    <w:basedOn w:val="DefaultParagraphFont"/>
    <w:link w:val="ListParagraph"/>
    <w:uiPriority w:val="34"/>
    <w:qFormat/>
    <w:locked/>
    <w:rsid w:val="00d05666"/>
    <w:rPr/>
  </w:style>
  <w:style w:type="character" w:styleId="Inaosramenys" w:customStyle="1">
    <w:name w:val="Išnašos rašmenys"/>
    <w:uiPriority w:val="99"/>
    <w:qFormat/>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nhideWhenUsed/>
    <w:qFormat/>
    <w:rsid w:val="00d05666"/>
    <w:rPr>
      <w:sz w:val="16"/>
      <w:szCs w:val="16"/>
    </w:rPr>
  </w:style>
  <w:style w:type="character" w:styleId="DebesliotekstasDiagrama" w:customStyle="1">
    <w:name w:val="Debesėlio tekstas Diagrama"/>
    <w:basedOn w:val="DefaultParagraphFont"/>
    <w:link w:val="BalloonText"/>
    <w:qFormat/>
    <w:rsid w:val="00d05666"/>
    <w:rPr>
      <w:rFonts w:ascii="Segoe UI" w:hAnsi="Segoe UI" w:cs="Segoe UI"/>
      <w:sz w:val="18"/>
      <w:szCs w:val="18"/>
      <w:lang w:eastAsia="en-US"/>
    </w:rPr>
  </w:style>
  <w:style w:type="character" w:styleId="Neapdorotaspaminjimas1" w:customStyle="1">
    <w:name w:val="Neapdorotas paminėjimas1"/>
    <w:basedOn w:val="DefaultParagraphFont"/>
    <w:uiPriority w:val="99"/>
    <w:semiHidden/>
    <w:unhideWhenUsed/>
    <w:qFormat/>
    <w:rsid w:val="002e3c32"/>
    <w:rPr>
      <w:color w:val="808080"/>
      <w:shd w:fill="E6E6E6" w:val="clear"/>
    </w:rPr>
  </w:style>
  <w:style w:type="character" w:styleId="KomentarotemaDiagrama" w:customStyle="1">
    <w:name w:val="Komentaro tema Diagrama"/>
    <w:basedOn w:val="KomentarotekstasDiagrama"/>
    <w:link w:val="Annotationsubject"/>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PagrindinistekstasDiagrama" w:customStyle="1">
    <w:name w:val="Pagrindinis tekstas Diagrama"/>
    <w:basedOn w:val="DefaultParagraphFont"/>
    <w:uiPriority w:val="99"/>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AntratsDiagrama" w:customStyle="1">
    <w:name w:val="Antraštės Diagrama"/>
    <w:basedOn w:val="DefaultParagraphFont"/>
    <w:qFormat/>
    <w:rsid w:val="00f560b4"/>
    <w:rPr>
      <w:rFonts w:ascii="Times New Roman" w:hAnsi="Times New Roman"/>
      <w:sz w:val="24"/>
      <w:szCs w:val="24"/>
      <w:lang w:eastAsia="en-US"/>
    </w:rPr>
  </w:style>
  <w:style w:type="character" w:styleId="PoratDiagrama" w:customStyle="1">
    <w:name w:val="Poraštė Diagrama"/>
    <w:basedOn w:val="DefaultParagraphFont"/>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Antrat2Diagrama" w:customStyle="1">
    <w:name w:val="Antraštė 2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CitataDiagrama" w:customStyle="1">
    <w:name w:val="Citata Diagrama"/>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BetarpDiagrama" w:customStyle="1">
    <w:name w:val="Be tarpų Diagrama"/>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unhideWhenUsed/>
    <w:rsid w:val="00c47ce7"/>
    <w:rPr>
      <w:color w:themeColor="followedHyperlink" w:val="954F72"/>
      <w:u w:val="single"/>
    </w:rPr>
  </w:style>
  <w:style w:type="character" w:styleId="DokumentoinaostekstasDiagrama" w:customStyle="1">
    <w:name w:val="Dokumento išnašos tekstas Diagrama"/>
    <w:basedOn w:val="DefaultParagraphFont"/>
    <w:uiPriority w:val="99"/>
    <w:semiHidden/>
    <w:qFormat/>
    <w:rsid w:val="00482bc0"/>
    <w:rPr>
      <w:sz w:val="20"/>
      <w:szCs w:val="20"/>
    </w:rPr>
  </w:style>
  <w:style w:type="character" w:styleId="Galinsinaosramenys" w:customStyle="1">
    <w:name w:val="Galinės išnašos rašmeny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Paminjimas1" w:customStyle="1">
    <w:name w:val="Paminėjimas1"/>
    <w:basedOn w:val="DefaultParagraphFont"/>
    <w:uiPriority w:val="99"/>
    <w:unhideWhenUsed/>
    <w:qFormat/>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Pagrindiniotekstotrauka2Diagrama" w:customStyle="1">
    <w:name w:val="Pagrindinio teksto įtrauka 2 Diagrama"/>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Hgkelc" w:customStyle="1">
    <w:name w:val="hgkelc"/>
    <w:basedOn w:val="DefaultParagraphFont"/>
    <w:qFormat/>
    <w:rsid w:val="00c60235"/>
    <w:rPr/>
  </w:style>
  <w:style w:type="character" w:styleId="UnresolvedMention1" w:customStyle="1">
    <w:name w:val="Unresolved Mention1"/>
    <w:basedOn w:val="DefaultParagraphFont"/>
    <w:uiPriority w:val="99"/>
    <w:semiHidden/>
    <w:unhideWhenUsed/>
    <w:qFormat/>
    <w:rsid w:val="00ef5b26"/>
    <w:rPr>
      <w:color w:val="605E5C"/>
      <w:shd w:fill="E1DFDD" w:val="clear"/>
    </w:rPr>
  </w:style>
  <w:style w:type="character" w:styleId="PaprastasistekstasDiagrama" w:customStyle="1">
    <w:name w:val="Paprastasis tekstas Diagrama"/>
    <w:basedOn w:val="DefaultParagraphFont"/>
    <w:link w:val="PlainText"/>
    <w:qFormat/>
    <w:rsid w:val="00bb5118"/>
    <w:rPr>
      <w:rFonts w:ascii="Times New Roman" w:hAnsi="Times New Roman" w:eastAsia="Times New Roman" w:cs="Times New Roman"/>
      <w:sz w:val="24"/>
      <w:szCs w:val="24"/>
    </w:rPr>
  </w:style>
  <w:style w:type="character" w:styleId="Pagrindiniotekstotrauka3Diagrama" w:customStyle="1">
    <w:name w:val="Pagrindinio teksto įtrauka 3 Diagrama"/>
    <w:basedOn w:val="DefaultParagraphFont"/>
    <w:link w:val="BodyTextIndent3"/>
    <w:qFormat/>
    <w:rsid w:val="00bb5118"/>
    <w:rPr>
      <w:rFonts w:ascii="Times New Roman" w:hAnsi="Times New Roman" w:eastAsia="Times New Roman" w:cs="Times New Roman"/>
      <w:sz w:val="16"/>
      <w:szCs w:val="16"/>
    </w:rPr>
  </w:style>
  <w:style w:type="character" w:styleId="PagrindiniotekstotraukaDiagrama" w:customStyle="1">
    <w:name w:val="Pagrindinio teksto įtrauka Diagrama"/>
    <w:basedOn w:val="DefaultParagraphFont"/>
    <w:qFormat/>
    <w:rsid w:val="00bb5118"/>
    <w:rPr>
      <w:rFonts w:ascii="Times New Roman" w:hAnsi="Times New Roman" w:eastAsia="Times New Roman" w:cs="Times New Roman"/>
      <w:sz w:val="24"/>
      <w:szCs w:val="24"/>
    </w:rPr>
  </w:style>
  <w:style w:type="character" w:styleId="Pagenumber">
    <w:name w:val="page number"/>
    <w:basedOn w:val="DefaultParagraphFont"/>
    <w:qFormat/>
    <w:rsid w:val="00bb5118"/>
    <w:rPr/>
  </w:style>
  <w:style w:type="character" w:styleId="Apple-converted-space" w:customStyle="1">
    <w:name w:val="apple-converted-space"/>
    <w:basedOn w:val="DefaultParagraphFont"/>
    <w:qFormat/>
    <w:rsid w:val="00bb5118"/>
    <w:rPr/>
  </w:style>
  <w:style w:type="character" w:styleId="CommentTextChar1" w:customStyle="1">
    <w:name w:val="Comment Text Char1"/>
    <w:basedOn w:val="DefaultParagraphFont"/>
    <w:qFormat/>
    <w:rsid w:val="00bb5118"/>
    <w:rPr/>
  </w:style>
  <w:style w:type="character" w:styleId="Rodyklssaitas" w:customStyle="1">
    <w:name w:val="Rodyklės saitas"/>
    <w:qFormat/>
    <w:rPr/>
  </w:style>
  <w:style w:type="character" w:styleId="DefaultParagraphFont1" w:customStyle="1">
    <w:name w:val="Default Paragraph Font1"/>
    <w:qFormat/>
    <w:rPr/>
  </w:style>
  <w:style w:type="character" w:styleId="DefaultParagraphFont2" w:customStyle="1">
    <w:name w:val="Default Paragraph Font2"/>
    <w:qFormat/>
    <w:rPr/>
  </w:style>
  <w:style w:type="character" w:styleId="UnresolvedMention" w:customStyle="1">
    <w:name w:val="Unresolved Mention"/>
    <w:basedOn w:val="DefaultParagraphFont"/>
    <w:uiPriority w:val="99"/>
    <w:semiHidden/>
    <w:unhideWhenUsed/>
    <w:qFormat/>
    <w:rsid w:val="00662597"/>
    <w:rPr>
      <w:color w:val="605E5C"/>
      <w:shd w:fill="E1DFDD" w:val="clear"/>
    </w:rPr>
  </w:style>
  <w:style w:type="character" w:styleId="Normaltextrun" w:customStyle="1">
    <w:name w:val="normaltextrun"/>
    <w:basedOn w:val="DefaultParagraphFont"/>
    <w:qFormat/>
    <w:rsid w:val="005f775a"/>
    <w:rPr/>
  </w:style>
  <w:style w:type="character" w:styleId="HTMLiankstoformatuotasDiagrama" w:customStyle="1">
    <w:name w:val="HTML iš anksto formatuotas Diagrama"/>
    <w:basedOn w:val="DefaultParagraphFont"/>
    <w:link w:val="HTMLPreformatted"/>
    <w:uiPriority w:val="99"/>
    <w:semiHidden/>
    <w:qFormat/>
    <w:rsid w:val="00a12ca3"/>
    <w:rPr>
      <w:rFonts w:ascii="Courier New" w:hAnsi="Courier New" w:eastAsia="Times New Roman" w:cs="Courier New"/>
      <w:sz w:val="20"/>
      <w:szCs w:val="20"/>
      <w:lang w:val="en-US" w:eastAsia="en-US"/>
    </w:rPr>
  </w:style>
  <w:style w:type="character" w:styleId="FontStyle62">
    <w:name w:val="Font Style62"/>
    <w:qFormat/>
    <w:rPr>
      <w:rFonts w:ascii="Times New Roman" w:hAnsi="Times New Roman" w:cs="Times New Roman"/>
      <w:sz w:val="22"/>
      <w:szCs w:val="22"/>
    </w:rPr>
  </w:style>
  <w:style w:type="character" w:styleId="DefaultParagraphFont3">
    <w:name w:val="Default Paragraph Font3"/>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iPriority w:val="99"/>
    <w:rsid w:val="00fa144d"/>
    <w:pPr>
      <w:ind w:firstLine="567"/>
      <w:jc w:val="both"/>
    </w:pPr>
    <w:rPr>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Caption1">
    <w:name w:val="caption1"/>
    <w:basedOn w:val="Normal"/>
    <w:next w:val="BodyText"/>
    <w:qFormat/>
    <w:pPr>
      <w:suppressLineNumbers/>
      <w:spacing w:before="120" w:after="120"/>
    </w:pPr>
    <w:rPr>
      <w:rFonts w:cs="Lucida Sans"/>
      <w:i/>
      <w:iCs/>
      <w:sz w:val="24"/>
      <w:szCs w:val="24"/>
    </w:rPr>
  </w:style>
  <w:style w:type="paragraph" w:styleId="Caption11" w:customStyle="1">
    <w:name w:val="caption11"/>
    <w:basedOn w:val="Normal"/>
    <w:next w:val="BodyText"/>
    <w:qFormat/>
    <w:pPr>
      <w:suppressLineNumbers/>
      <w:spacing w:before="120" w:after="120"/>
    </w:pPr>
    <w:rPr>
      <w:rFonts w:cs="Lucida Sans"/>
      <w:i/>
      <w:iCs/>
      <w:sz w:val="24"/>
      <w:szCs w:val="24"/>
    </w:rPr>
  </w:style>
  <w:style w:type="paragraph" w:styleId="Antrat1" w:customStyle="1">
    <w:name w:val="Antraštė1"/>
    <w:next w:val="Body2"/>
    <w:qFormat/>
    <w:rsid w:val="00072fe6"/>
    <w:pPr>
      <w:widowControl/>
      <w:suppressAutoHyphens w:val="true"/>
      <w:bidi w:val="0"/>
      <w:spacing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Caption111" w:customStyle="1">
    <w:name w:val="caption111"/>
    <w:basedOn w:val="Normal"/>
    <w:qFormat/>
    <w:pPr>
      <w:suppressLineNumbers/>
      <w:spacing w:before="120" w:after="120"/>
    </w:pPr>
    <w:rPr>
      <w:rFonts w:cs="Lucida Sans"/>
      <w:i/>
      <w:iCs/>
      <w:sz w:val="24"/>
      <w:szCs w:val="24"/>
    </w:rPr>
  </w:style>
  <w:style w:type="paragraph" w:styleId="FootnoteText">
    <w:name w:val="Footnote Text"/>
    <w:basedOn w:val="Normal"/>
    <w:link w:val="PuslapioinaostekstasDiagrama"/>
    <w:uiPriority w:val="99"/>
    <w:unhideWhenUsed/>
    <w:rsid w:val="00d05666"/>
    <w:pPr/>
    <w:rPr>
      <w:sz w:val="20"/>
      <w:szCs w:val="20"/>
    </w:rPr>
  </w:style>
  <w:style w:type="paragraph" w:styleId="Annotationtext">
    <w:name w:val="annotation text"/>
    <w:basedOn w:val="Normal"/>
    <w:link w:val="KomentarotekstasDiagrama"/>
    <w:unhideWhenUsed/>
    <w:qFormat/>
    <w:rsid w:val="00d05666"/>
    <w:pPr/>
    <w:rPr>
      <w:sz w:val="20"/>
      <w:szCs w:val="20"/>
    </w:rPr>
  </w:style>
  <w:style w:type="paragraph" w:styleId="Subtitle">
    <w:name w:val="Subtitle"/>
    <w:basedOn w:val="Normal"/>
    <w:next w:val="Normal"/>
    <w:link w:val="PaantratDiagrama"/>
    <w:qFormat/>
    <w:rsid w:val="00eb164f"/>
    <w:pPr>
      <w:spacing w:before="0" w:after="240"/>
    </w:pPr>
    <w:rPr>
      <w:caps/>
      <w:color w:themeColor="text1" w:themeTint="bf" w:val="404040"/>
      <w:spacing w:val="20"/>
      <w:sz w:val="28"/>
      <w:szCs w:val="28"/>
    </w:rPr>
  </w:style>
  <w:style w:type="paragraph" w:styleId="ListParagraph">
    <w:name w:val="List Paragraph"/>
    <w:basedOn w:val="Normal"/>
    <w:link w:val="SraopastraipaDiagrama"/>
    <w:uiPriority w:val="34"/>
    <w:qFormat/>
    <w:rsid w:val="001c4f12"/>
    <w:pPr>
      <w:spacing w:before="0" w:after="160"/>
      <w:ind w:left="720"/>
      <w:contextualSpacing/>
    </w:pPr>
    <w:rPr/>
  </w:style>
  <w:style w:type="paragraph" w:styleId="BalloonText">
    <w:name w:val="Balloon Text"/>
    <w:basedOn w:val="Normal"/>
    <w:link w:val="DebesliotekstasDiagrama"/>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KomentarotemaDiagrama"/>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Puslapinantratirporat" w:customStyle="1">
    <w:name w:val="Puslapinė antraštė ir poraštė"/>
    <w:basedOn w:val="Normal"/>
    <w:qFormat/>
    <w:pPr/>
    <w:rPr/>
  </w:style>
  <w:style w:type="paragraph" w:styleId="Header">
    <w:name w:val="Header"/>
    <w:basedOn w:val="Normal"/>
    <w:link w:val="AntratsDiagrama"/>
    <w:unhideWhenUsed/>
    <w:rsid w:val="00f560b4"/>
    <w:pPr>
      <w:tabs>
        <w:tab w:val="clear" w:pos="1296"/>
        <w:tab w:val="center" w:pos="4513" w:leader="none"/>
        <w:tab w:val="right" w:pos="9026" w:leader="none"/>
      </w:tabs>
    </w:pPr>
    <w:rPr/>
  </w:style>
  <w:style w:type="paragraph" w:styleId="Footer">
    <w:name w:val="Footer"/>
    <w:basedOn w:val="Normal"/>
    <w:link w:val="PoratDiagrama"/>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111" w:customStyle="1">
    <w:name w:val="caption1111"/>
    <w:basedOn w:val="Normal"/>
    <w:next w:val="Normal"/>
    <w:uiPriority w:val="35"/>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PavadinimasDiagrama"/>
    <w:uiPriority w:val="99"/>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BetarpDiagrama"/>
    <w:uiPriority w:val="1"/>
    <w:qFormat/>
    <w:rsid w:val="00eb164f"/>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CitataDiagrama"/>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1" w:customStyle="1">
    <w:name w:val="index heading1"/>
    <w:basedOn w:val="Antrat1"/>
    <w:qFormat/>
    <w:pPr/>
    <w:rPr/>
  </w:style>
  <w:style w:type="paragraph" w:styleId="Indexheading2" w:customStyle="1">
    <w:name w:val="index heading2"/>
    <w:basedOn w:val="Caption11"/>
    <w:qFormat/>
    <w:pPr/>
    <w:rPr/>
  </w:style>
  <w:style w:type="paragraph" w:styleId="Indexheading3">
    <w:name w:val="index heading3"/>
    <w:basedOn w:val="Caption1"/>
    <w:qFormat/>
    <w:pPr/>
    <w:rPr/>
  </w:style>
  <w:style w:type="paragraph" w:styleId="IndexHeading">
    <w:name w:val="Index Heading"/>
    <w:basedOn w:val="Antrat"/>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4a5705"/>
    <w:pPr>
      <w:tabs>
        <w:tab w:val="clear" w:pos="1296"/>
        <w:tab w:val="left" w:pos="270" w:leader="none"/>
        <w:tab w:val="right" w:pos="9962" w:leader="dot"/>
      </w:tabs>
      <w:spacing w:before="0" w:after="0"/>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1a78a2"/>
    <w:pPr>
      <w:tabs>
        <w:tab w:val="clear" w:pos="1296"/>
        <w:tab w:val="left" w:pos="142" w:leader="none"/>
        <w:tab w:val="right" w:pos="9962" w:leader="dot"/>
      </w:tabs>
      <w:spacing w:before="0" w:after="0"/>
      <w:ind w:left="142"/>
    </w:pPr>
    <w:rPr/>
  </w:style>
  <w:style w:type="paragraph" w:styleId="S1lygis" w:customStyle="1">
    <w:name w:val="_S 1 lygis"/>
    <w:basedOn w:val="Normal"/>
    <w:qFormat/>
    <w:rsid w:val="00bc0ec9"/>
    <w:pPr>
      <w:numPr>
        <w:ilvl w:val="0"/>
        <w:numId w:val="2"/>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DokumentoinaostekstasDiagrama"/>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Pagrindiniotekstotrauka2Diagrama"/>
    <w:unhideWhenUsed/>
    <w:qFormat/>
    <w:rsid w:val="00210870"/>
    <w:pPr>
      <w:spacing w:lineRule="auto" w:line="480" w:before="0" w:after="120"/>
      <w:ind w:left="283"/>
    </w:pPr>
    <w:rPr/>
  </w:style>
  <w:style w:type="paragraph" w:styleId="Diagrama11" w:customStyle="1">
    <w:name w:val="Diagrama11"/>
    <w:basedOn w:val="Normal"/>
    <w:next w:val="FootnoteText"/>
    <w:uiPriority w:val="99"/>
    <w:qFormat/>
    <w:rsid w:val="0056384c"/>
    <w:pPr>
      <w:spacing w:lineRule="auto" w:line="240" w:before="0" w:after="0"/>
      <w:jc w:val="both"/>
    </w:pPr>
    <w:rPr>
      <w:rFonts w:ascii="Times New Roman" w:hAnsi="Times New Roman" w:cs="Times New Roman"/>
      <w:sz w:val="20"/>
      <w:szCs w:val="20"/>
    </w:rPr>
  </w:style>
  <w:style w:type="paragraph" w:styleId="Default" w:customStyle="1">
    <w:name w:val="Default"/>
    <w:qFormat/>
    <w:rsid w:val="008b70fb"/>
    <w:pPr>
      <w:widowControl/>
      <w:suppressAutoHyphens w:val="true"/>
      <w:bidi w:val="0"/>
      <w:spacing w:before="0" w:after="0"/>
      <w:jc w:val="left"/>
    </w:pPr>
    <w:rPr>
      <w:rFonts w:ascii="Montserrat" w:hAnsi="Montserrat" w:eastAsia="Calibri" w:cs="Montserrat" w:eastAsiaTheme="minorHAnsi"/>
      <w:color w:val="000000"/>
      <w:kern w:val="0"/>
      <w:sz w:val="24"/>
      <w:szCs w:val="24"/>
      <w:lang w:val="lt-LT" w:eastAsia="en-US" w:bidi="ar-SA"/>
    </w:rPr>
  </w:style>
  <w:style w:type="paragraph" w:styleId="Arno1" w:customStyle="1">
    <w:name w:val="arno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Diagramadiagramadiagrama" w:customStyle="1">
    <w:name w:val="diagramadiagramadiagrama"/>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PlainText">
    <w:name w:val="Plain Text"/>
    <w:basedOn w:val="Normal"/>
    <w:link w:val="PaprastasistekstasDiagrama"/>
    <w:qFormat/>
    <w:rsid w:val="00bb5118"/>
    <w:pPr>
      <w:spacing w:lineRule="auto" w:line="240" w:beforeAutospacing="1" w:afterAutospacing="1"/>
    </w:pPr>
    <w:rPr>
      <w:rFonts w:ascii="Times New Roman" w:hAnsi="Times New Roman" w:eastAsia="Times New Roman" w:cs="Times New Roman"/>
      <w:sz w:val="24"/>
      <w:szCs w:val="24"/>
    </w:rPr>
  </w:style>
  <w:style w:type="paragraph" w:styleId="Point1" w:customStyle="1">
    <w:name w:val="point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BodyTextIndent3">
    <w:name w:val="Body Text Indent 3"/>
    <w:basedOn w:val="Normal"/>
    <w:link w:val="Pagrindiniotekstotrauka3Diagrama"/>
    <w:qFormat/>
    <w:rsid w:val="00bb5118"/>
    <w:pPr>
      <w:spacing w:lineRule="auto" w:line="240" w:before="0" w:after="120"/>
      <w:ind w:left="283"/>
    </w:pPr>
    <w:rPr>
      <w:rFonts w:ascii="Times New Roman" w:hAnsi="Times New Roman" w:eastAsia="Times New Roman" w:cs="Times New Roman"/>
      <w:sz w:val="16"/>
      <w:szCs w:val="16"/>
    </w:rPr>
  </w:style>
  <w:style w:type="paragraph" w:styleId="Msolistparagraph" w:customStyle="1">
    <w:name w:val="msolistparagraph"/>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BodyTextIndent">
    <w:name w:val="Body Text Indent"/>
    <w:basedOn w:val="Normal"/>
    <w:link w:val="PagrindiniotekstotraukaDiagrama"/>
    <w:rsid w:val="00bb5118"/>
    <w:pPr>
      <w:spacing w:lineRule="auto" w:line="240" w:before="0" w:after="120"/>
      <w:ind w:left="283"/>
    </w:pPr>
    <w:rPr>
      <w:rFonts w:ascii="Times New Roman" w:hAnsi="Times New Roman" w:eastAsia="Times New Roman" w:cs="Times New Roman"/>
      <w:sz w:val="24"/>
      <w:szCs w:val="24"/>
    </w:rPr>
  </w:style>
  <w:style w:type="paragraph" w:styleId="Numeracijaskliaustai" w:customStyle="1">
    <w:name w:val="numeracijaskliaustai"/>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Couriernormal0" w:customStyle="1">
    <w:name w:val="couriernormal0"/>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listparagraphcxspmiddle" w:customStyle="1">
    <w:name w:val="msolistparagraphcxspmiddle"/>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listparagraphcxsplast" w:customStyle="1">
    <w:name w:val="msolistparagraphcxsplast"/>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 w:customStyle="1">
    <w:name w:val="listparagraph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cxsplast" w:customStyle="1">
    <w:name w:val="listparagraph1cxsplast"/>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Nospacing1" w:customStyle="1">
    <w:name w:val="nospacing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cxspmiddle" w:customStyle="1">
    <w:name w:val="listparagraph1cxspmiddle"/>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766" w:customStyle="1">
    <w:name w:val="766"/>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normal" w:customStyle="1">
    <w:name w:val="msonormal"/>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Xl65" w:customStyle="1">
    <w:name w:val="xl65"/>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Xl66" w:customStyle="1">
    <w:name w:val="xl66"/>
    <w:basedOn w:val="Normal"/>
    <w:qFormat/>
    <w:rsid w:val="00bb5118"/>
    <w:pPr>
      <w:spacing w:lineRule="auto" w:line="240" w:beforeAutospacing="1" w:afterAutospacing="1"/>
      <w:textAlignment w:val="center"/>
    </w:pPr>
    <w:rPr>
      <w:rFonts w:ascii="Times New Roman" w:hAnsi="Times New Roman" w:eastAsia="Times New Roman" w:cs="Times New Roman"/>
      <w:sz w:val="24"/>
      <w:szCs w:val="24"/>
    </w:rPr>
  </w:style>
  <w:style w:type="paragraph" w:styleId="Xl67" w:customStyle="1">
    <w:name w:val="xl67"/>
    <w:basedOn w:val="Normal"/>
    <w:qFormat/>
    <w:rsid w:val="00bb5118"/>
    <w:pP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68" w:customStyle="1">
    <w:name w:val="xl68"/>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69" w:customStyle="1">
    <w:name w:val="xl69"/>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0" w:customStyle="1">
    <w:name w:val="xl70"/>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71" w:customStyle="1">
    <w:name w:val="xl71"/>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2" w:customStyle="1">
    <w:name w:val="xl72"/>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73" w:customStyle="1">
    <w:name w:val="xl73"/>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4" w:customStyle="1">
    <w:name w:val="xl74"/>
    <w:basedOn w:val="Normal"/>
    <w:qFormat/>
    <w:rsid w:val="00bb5118"/>
    <w:pPr>
      <w:spacing w:lineRule="auto" w:line="240" w:beforeAutospacing="1" w:afterAutospacing="1"/>
    </w:pPr>
    <w:rPr>
      <w:rFonts w:ascii="Times New Roman" w:hAnsi="Times New Roman" w:eastAsia="Times New Roman" w:cs="Times New Roman"/>
      <w:sz w:val="20"/>
      <w:szCs w:val="20"/>
    </w:rPr>
  </w:style>
  <w:style w:type="paragraph" w:styleId="Xl75" w:customStyle="1">
    <w:name w:val="xl75"/>
    <w:basedOn w:val="Normal"/>
    <w:qFormat/>
    <w:rsid w:val="00bb5118"/>
    <w:pPr>
      <w:spacing w:lineRule="auto" w:line="240" w:beforeAutospacing="1" w:afterAutospacing="1"/>
      <w:jc w:val="center"/>
    </w:pPr>
    <w:rPr>
      <w:rFonts w:ascii="Times New Roman" w:hAnsi="Times New Roman" w:eastAsia="Times New Roman" w:cs="Times New Roman"/>
      <w:sz w:val="20"/>
      <w:szCs w:val="20"/>
    </w:rPr>
  </w:style>
  <w:style w:type="paragraph" w:styleId="Xl76" w:customStyle="1">
    <w:name w:val="xl76"/>
    <w:basedOn w:val="Normal"/>
    <w:qFormat/>
    <w:rsid w:val="00bb5118"/>
    <w:pPr>
      <w:spacing w:lineRule="auto" w:line="240" w:beforeAutospacing="1" w:afterAutospacing="1"/>
      <w:jc w:val="right"/>
    </w:pPr>
    <w:rPr>
      <w:rFonts w:ascii="Times New Roman" w:hAnsi="Times New Roman" w:eastAsia="Times New Roman" w:cs="Times New Roman"/>
      <w:b/>
      <w:bCs/>
      <w:sz w:val="20"/>
      <w:szCs w:val="20"/>
    </w:rPr>
  </w:style>
  <w:style w:type="paragraph" w:styleId="Xl77" w:customStyle="1">
    <w:name w:val="xl77"/>
    <w:basedOn w:val="Normal"/>
    <w:qFormat/>
    <w:rsid w:val="00bb5118"/>
    <w:pPr>
      <w:shd w:val="clear" w:color="000000" w:fill="FFFF00"/>
      <w:spacing w:lineRule="auto" w:line="240" w:beforeAutospacing="1" w:afterAutospacing="1"/>
      <w:jc w:val="center"/>
    </w:pPr>
    <w:rPr>
      <w:rFonts w:ascii="Times New Roman" w:hAnsi="Times New Roman" w:eastAsia="Times New Roman" w:cs="Times New Roman"/>
      <w:sz w:val="20"/>
      <w:szCs w:val="20"/>
    </w:rPr>
  </w:style>
  <w:style w:type="paragraph" w:styleId="Xl78" w:customStyle="1">
    <w:name w:val="xl78"/>
    <w:basedOn w:val="Normal"/>
    <w:qFormat/>
    <w:rsid w:val="00bb5118"/>
    <w:pPr>
      <w:spacing w:lineRule="auto" w:line="240" w:beforeAutospacing="1" w:afterAutospacing="1"/>
      <w:jc w:val="center"/>
    </w:pPr>
    <w:rPr>
      <w:rFonts w:ascii="Times New Roman" w:hAnsi="Times New Roman" w:eastAsia="Times New Roman" w:cs="Times New Roman"/>
      <w:b/>
      <w:bCs/>
      <w:sz w:val="20"/>
      <w:szCs w:val="20"/>
    </w:rPr>
  </w:style>
  <w:style w:type="paragraph" w:styleId="Xl79" w:customStyle="1">
    <w:name w:val="xl79"/>
    <w:basedOn w:val="Normal"/>
    <w:qFormat/>
    <w:rsid w:val="00bb5118"/>
    <w:pPr>
      <w:spacing w:lineRule="auto" w:line="240" w:beforeAutospacing="1" w:afterAutospacing="1"/>
    </w:pPr>
    <w:rPr>
      <w:rFonts w:ascii="Times New Roman" w:hAnsi="Times New Roman" w:eastAsia="Times New Roman" w:cs="Times New Roman"/>
      <w:b/>
      <w:bCs/>
      <w:sz w:val="20"/>
      <w:szCs w:val="20"/>
    </w:rPr>
  </w:style>
  <w:style w:type="paragraph" w:styleId="Xl80" w:customStyle="1">
    <w:name w:val="xl80"/>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81" w:customStyle="1">
    <w:name w:val="xl81"/>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b/>
      <w:bCs/>
      <w:sz w:val="20"/>
      <w:szCs w:val="20"/>
    </w:rPr>
  </w:style>
  <w:style w:type="paragraph" w:styleId="Xl82" w:customStyle="1">
    <w:name w:val="xl82"/>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Linija" w:customStyle="1">
    <w:name w:val="linija"/>
    <w:basedOn w:val="Normal"/>
    <w:uiPriority w:val="99"/>
    <w:qFormat/>
    <w:rsid w:val="00d759ea"/>
    <w:pPr>
      <w:spacing w:lineRule="auto" w:line="240" w:before="280" w:after="280"/>
    </w:pPr>
    <w:rPr>
      <w:rFonts w:ascii="Times New Roman" w:hAnsi="Times New Roman" w:eastAsia="Times New Roman" w:cs="Calibri"/>
      <w:sz w:val="24"/>
      <w:szCs w:val="24"/>
      <w:lang w:eastAsia="ar-SA"/>
    </w:rPr>
  </w:style>
  <w:style w:type="paragraph" w:styleId="Standard" w:customStyle="1">
    <w:name w:val="Standard"/>
    <w:qFormat/>
    <w:pPr>
      <w:widowControl/>
      <w:suppressAutoHyphens w:val="true"/>
      <w:bidi w:val="0"/>
      <w:spacing w:before="0" w:after="0"/>
      <w:jc w:val="left"/>
      <w:textAlignment w:val="baseline"/>
    </w:pPr>
    <w:rPr>
      <w:rFonts w:ascii="Liberation Serif" w:hAnsi="Liberation Serif" w:eastAsia="NSimSun" w:cs="Lucida Sans"/>
      <w:color w:val="auto"/>
      <w:kern w:val="2"/>
      <w:sz w:val="24"/>
      <w:szCs w:val="24"/>
      <w:lang w:val="lt-LT" w:eastAsia="zh-CN" w:bidi="hi-IN"/>
    </w:rPr>
  </w:style>
  <w:style w:type="paragraph" w:styleId="Lentelsturinys" w:customStyle="1">
    <w:name w:val="Lentelės turinys"/>
    <w:basedOn w:val="Standard"/>
    <w:qFormat/>
    <w:pPr>
      <w:widowControl w:val="false"/>
      <w:suppressLineNumbers/>
    </w:pPr>
    <w:rPr/>
  </w:style>
  <w:style w:type="paragraph" w:styleId="Lentelsantrat" w:customStyle="1">
    <w:name w:val="Lentelės antraštė"/>
    <w:basedOn w:val="Lentelsturinys"/>
    <w:qFormat/>
    <w:pPr>
      <w:jc w:val="center"/>
    </w:pPr>
    <w:rPr>
      <w:b/>
      <w:bCs/>
    </w:rPr>
  </w:style>
  <w:style w:type="paragraph" w:styleId="HTMLPreformatted">
    <w:name w:val="HTML Preformatted"/>
    <w:basedOn w:val="Normal"/>
    <w:link w:val="HTMLiankstoformatuotasDiagrama"/>
    <w:uiPriority w:val="99"/>
    <w:semiHidden/>
    <w:unhideWhenUsed/>
    <w:qFormat/>
    <w:rsid w:val="00a12ca3"/>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spacing w:lineRule="auto" w:line="240" w:before="0" w:after="0"/>
    </w:pPr>
    <w:rPr>
      <w:rFonts w:ascii="Courier New" w:hAnsi="Courier New" w:eastAsia="Times New Roman" w:cs="Courier New"/>
      <w:sz w:val="20"/>
      <w:szCs w:val="20"/>
      <w:lang w:val="en-US" w:eastAsia="en-US"/>
    </w:rPr>
  </w:style>
  <w:style w:type="paragraph" w:styleId="Western" w:customStyle="1">
    <w:name w:val="western"/>
    <w:basedOn w:val="Normal"/>
    <w:qFormat/>
    <w:rsid w:val="004307c3"/>
    <w:pPr>
      <w:spacing w:beforeAutospacing="1" w:after="142"/>
    </w:pPr>
    <w:rPr>
      <w:rFonts w:ascii="Calibri" w:hAnsi="Calibri" w:eastAsia="Times New Roman" w:cs="Calibri"/>
      <w:color w:val="000000"/>
      <w:sz w:val="22"/>
      <w:szCs w:val="22"/>
    </w:rPr>
  </w:style>
  <w:style w:type="paragraph" w:styleId="Style5" w:customStyle="1">
    <w:name w:val="Style"/>
    <w:qFormat/>
    <w:rsid w:val="00c66ff7"/>
    <w:pPr>
      <w:widowControl w:val="false"/>
      <w:suppressAutoHyphens w:val="true"/>
      <w:bidi w:val="0"/>
      <w:spacing w:before="0" w:after="0"/>
      <w:jc w:val="left"/>
    </w:pPr>
    <w:rPr>
      <w:rFonts w:ascii="Times New Roman" w:hAnsi="Times New Roman" w:eastAsia="Times New Roman" w:cs="Times New Roman"/>
      <w:color w:val="auto"/>
      <w:kern w:val="0"/>
      <w:sz w:val="24"/>
      <w:szCs w:val="24"/>
      <w:lang w:val="lt-LT" w:eastAsia="lt-LT" w:bidi="ar-SA"/>
    </w:rPr>
  </w:style>
  <w:style w:type="paragraph" w:styleId="Western1" w:customStyle="1">
    <w:name w:val="western1"/>
    <w:basedOn w:val="Normal"/>
    <w:qFormat/>
    <w:rsid w:val="00150678"/>
    <w:pPr>
      <w:suppressAutoHyphens w:val="false"/>
      <w:spacing w:lineRule="auto" w:line="240" w:beforeAutospacing="1" w:after="0"/>
    </w:pPr>
    <w:rPr>
      <w:rFonts w:ascii="Times New Roman" w:hAnsi="Times New Roman" w:eastAsia="Times New Roman" w:cs="Times New Roman"/>
      <w:color w:val="000000"/>
      <w:sz w:val="24"/>
      <w:szCs w:val="24"/>
      <w:lang w:val="en-US" w:eastAsia="en-US"/>
    </w:rPr>
  </w:style>
  <w:style w:type="paragraph" w:styleId="Nurodytoformatotekstas">
    <w:name w:val="Nurodyto formato tekstas"/>
    <w:basedOn w:val="Normal"/>
    <w:qFormat/>
    <w:pPr>
      <w:spacing w:before="0" w:after="0"/>
    </w:pPr>
    <w:rPr>
      <w:rFonts w:ascii="Liberation Mono" w:hAnsi="Liberation Mono" w:eastAsia="Liberation Mono" w:cs="Liberation Mono"/>
      <w:sz w:val="20"/>
      <w:szCs w:val="20"/>
    </w:rPr>
  </w:style>
  <w:style w:type="paragraph" w:styleId="Style33">
    <w:name w:val="Style33"/>
    <w:basedOn w:val="Normal"/>
    <w:qFormat/>
    <w:pPr>
      <w:widowControl w:val="false"/>
      <w:spacing w:lineRule="exact" w:line="277" w:before="0" w:after="0"/>
    </w:pPr>
    <w:rPr>
      <w:rFonts w:ascii="Times New Roman" w:hAnsi="Times New Roman" w:eastAsia="Times New Roman" w:cs="Times New Roman"/>
      <w:sz w:val="24"/>
      <w:szCs w:val="24"/>
    </w:rPr>
  </w:style>
  <w:style w:type="paragraph" w:styleId="Pagrindinistekstas2">
    <w:name w:val="Pagrindinis tekstas2"/>
    <w:qFormat/>
    <w:pPr>
      <w:widowControl/>
      <w:suppressAutoHyphens w:val="true"/>
      <w:bidi w:val="0"/>
      <w:snapToGrid w:val="false"/>
      <w:spacing w:lineRule="auto" w:line="240" w:before="0" w:after="0"/>
      <w:ind w:firstLine="312"/>
      <w:jc w:val="both"/>
    </w:pPr>
    <w:rPr>
      <w:rFonts w:ascii="TimesLT" w:hAnsi="TimesLT" w:eastAsia="Times New Roman" w:cs="Times New Roman"/>
      <w:color w:val="auto"/>
      <w:kern w:val="0"/>
      <w:sz w:val="20"/>
      <w:szCs w:val="20"/>
      <w:lang w:val="en-US" w:eastAsia="en-US" w:bidi="ar-SA"/>
    </w:rPr>
  </w:style>
  <w:style w:type="paragraph" w:styleId="Kadroturinys">
    <w:name w:val="Kadro turinys"/>
    <w:basedOn w:val="Normal"/>
    <w:qFormat/>
    <w:pPr/>
    <w:rPr/>
  </w:style>
  <w:style w:type="numbering" w:styleId="NoList" w:default="1">
    <w:name w:val="No List"/>
    <w:uiPriority w:val="99"/>
    <w:semiHidden/>
    <w:unhideWhenUsed/>
    <w:qFormat/>
  </w:style>
  <w:style w:type="numbering" w:styleId="List51" w:customStyle="1">
    <w:name w:val="List 51"/>
    <w:qFormat/>
    <w:rsid w:val="00197943"/>
  </w:style>
  <w:style w:type="numbering" w:styleId="Sraonra1" w:customStyle="1">
    <w:name w:val="Sąrašo nėra1"/>
    <w:semiHidden/>
    <w:unhideWhenUsed/>
    <w:qFormat/>
    <w:rsid w:val="00bb5118"/>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d05666"/>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prastojilentel"/>
    <w:uiPriority w:val="39"/>
    <w:rsid w:val="000e6657"/>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prastojilentel"/>
    <w:uiPriority w:val="39"/>
    <w:rsid w:val="002f396f"/>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prastojilentel"/>
    <w:rsid w:val="0068660c"/>
    <w:rPr>
      <w:lang w:eastAsia="en-US"/>
      <w:sz w:val="20"/>
      <w:szCs w:val="20"/>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Lentelstinklelis3">
    <w:name w:val="Lentelės tinklelis3"/>
    <w:basedOn w:val="prastojilentel"/>
    <w:uiPriority w:val="39"/>
    <w:rsid w:val="00166d11"/>
    <w:rPr>
      <w:lang w:val="en-US"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prastojilentel"/>
    <w:rsid w:val="0056384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2">
    <w:name w:val="Lentelės tinklelis2"/>
    <w:basedOn w:val="prastojilentel"/>
    <w:uiPriority w:val="59"/>
    <w:rsid w:val="0056384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7">
    <w:name w:val="Lentelės tinklelis7"/>
    <w:basedOn w:val="prastojilentel"/>
    <w:uiPriority w:val="39"/>
    <w:rsid w:val="00f71add"/>
    <w:rPr>
      <w:lang w:val="en-US" w:eastAsia="en-US"/>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1">
    <w:name w:val="Lentelės tinklelis11"/>
    <w:basedOn w:val="prastojilentel"/>
    <w:rsid w:val="00414884"/>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lt/nuorodos/kiti-duomenys/powerbi/melaginga-informacija-pateikusiu-tiekeju-sarasas-3/" TargetMode="External"/><Relationship Id="rId4" Type="http://schemas.openxmlformats.org/officeDocument/2006/relationships/hyperlink" Target="https://vpt.lrv.lt/lt/nuorodos/kiti-duomenys/powerbi/nepatikimi-tiekejai-1/" TargetMode="External"/><Relationship Id="rId5" Type="http://schemas.openxmlformats.org/officeDocument/2006/relationships/hyperlink" Target="https://vpt.lrv.lt/lt/pasalinimo-pagrindai-1/nepatikimu-koncesininku-sarasas-1/nepatikimu-koncesininku-sarasas/" TargetMode="External"/><Relationship Id="rId6" Type="http://schemas.openxmlformats.org/officeDocument/2006/relationships/hyperlink" Target="https://www.registrucentras.lt/jar/p/index.php" TargetMode="External"/><Relationship Id="rId7" Type="http://schemas.openxmlformats.org/officeDocument/2006/relationships/hyperlink" Target="https://vpt.lrv.lt/lt/naujienos-3/finansiniu-ataskaitu-nepateikimas-gali-tapti-kliutimi-dalyvauti-viesuosiuose-pirkimuose/" TargetMode="External"/><Relationship Id="rId8" Type="http://schemas.openxmlformats.org/officeDocument/2006/relationships/hyperlink" Target="https://www.vmi.lt/evmi/mokesciu-moketoju-informacija" TargetMode="External"/><Relationship Id="rId9" Type="http://schemas.openxmlformats.org/officeDocument/2006/relationships/hyperlink" Target="https://kt.gov.lt/lt/atviri-duomenys/diskvalifikavimas-is-viesuju-pirkimu" TargetMode="Externa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otnotes" Target="footnote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384383</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A0C31-C27E-41D9-A381-15EE848B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B0FE0CAB-E2B0-4C4C-BF86-0C5CAA63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Application>LibreOffice/24.2.0.3$Windows_X86_64 LibreOffice_project/da48488a73ddd66ea24cf16bbc4f7b9c08e9bea1</Application>
  <AppVersion>15.0000</AppVersion>
  <Pages>46</Pages>
  <Words>11698</Words>
  <Characters>83971</Characters>
  <CharactersWithSpaces>95278</CharactersWithSpaces>
  <Paragraphs>672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2025-01-16T14:45:00Z</dcterms:created>
  <dc:creator>Arūnė Andrulionienė</dc:creator>
  <dc:description/>
  <dc:language>lt-LT</dc:language>
  <cp:lastModifiedBy/>
  <dcterms:modified xsi:type="dcterms:W3CDTF">2026-03-27T09:00:50Z</dcterms:modified>
  <cp:revision>37</cp:revision>
  <dc:subject/>
  <dc:title>07: dėl pirkimo dokumentų patikros - info@cpva.lt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AquisitionType">
    <vt:lpwstr>8</vt:lpwstr>
  </property>
  <property fmtid="{D5CDD505-2E9C-101B-9397-08002B2CF9AE}" pid="4" name="DmsCPVADocProgram">
    <vt:lpwstr/>
  </property>
  <property fmtid="{D5CDD505-2E9C-101B-9397-08002B2CF9AE}" pid="5" name="DmsCPVADocSubtype">
    <vt:lpwstr/>
  </property>
  <property fmtid="{D5CDD505-2E9C-101B-9397-08002B2CF9AE}" pid="6" name="DmsCPVAOtherResponsiblePersons">
    <vt:lpwstr/>
  </property>
  <property fmtid="{D5CDD505-2E9C-101B-9397-08002B2CF9AE}" pid="7" name="DmsCase">
    <vt:lpwstr>111042</vt:lpwstr>
  </property>
  <property fmtid="{D5CDD505-2E9C-101B-9397-08002B2CF9AE}" pid="8" name="DmsDocPrepAdocType">
    <vt:lpwstr>-</vt:lpwstr>
  </property>
  <property fmtid="{D5CDD505-2E9C-101B-9397-08002B2CF9AE}" pid="9"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0" name="DmsPermissionsFlags">
    <vt:lpwstr>,SECTRUE,</vt:lpwstr>
  </property>
  <property fmtid="{D5CDD505-2E9C-101B-9397-08002B2CF9AE}" pid="11" name="DmsPermissionsUsers">
    <vt:lpwstr>1073741823;#Sistemos abonementas;#803;#Neringa Sabienė;#876;#Lina Mechoncevė;#1311;#Violeta Jermak;#1502;#Domilė Kučinskaitė</vt:lpwstr>
  </property>
  <property fmtid="{D5CDD505-2E9C-101B-9397-08002B2CF9AE}" pid="12" name="DmsReceivedDocDate">
    <vt:filetime>2024-09-17T10:21:11Z</vt:filetime>
  </property>
  <property fmtid="{D5CDD505-2E9C-101B-9397-08002B2CF9AE}" pid="13" name="DmsReceivedDocType">
    <vt:lpwstr/>
  </property>
  <property fmtid="{D5CDD505-2E9C-101B-9397-08002B2CF9AE}" pid="14" name="DmsRegPerson">
    <vt:lpwstr/>
  </property>
  <property fmtid="{D5CDD505-2E9C-101B-9397-08002B2CF9AE}" pid="15" name="DmsRegState">
    <vt:lpwstr>Naujas</vt:lpwstr>
  </property>
  <property fmtid="{D5CDD505-2E9C-101B-9397-08002B2CF9AE}" pid="16" name="DmsRegister">
    <vt:lpwstr>110452</vt:lpwstr>
  </property>
  <property fmtid="{D5CDD505-2E9C-101B-9397-08002B2CF9AE}" pid="17" name="DmsResponsiblePerson">
    <vt:lpwstr/>
  </property>
  <property fmtid="{D5CDD505-2E9C-101B-9397-08002B2CF9AE}" pid="18" name="MediaServiceImageTags">
    <vt:lpwstr/>
  </property>
  <property fmtid="{D5CDD505-2E9C-101B-9397-08002B2CF9AE}" pid="19" name="TaxCatchAll">
    <vt:lpwstr/>
  </property>
  <property fmtid="{D5CDD505-2E9C-101B-9397-08002B2CF9AE}" pid="20" name="b1f23dead1274c488d632b6cb8d4aba0">
    <vt:lpwstr/>
  </property>
  <property fmtid="{D5CDD505-2E9C-101B-9397-08002B2CF9AE}" pid="21" name="bef85333021544dbbbb8b847b70284cc">
    <vt:lpwstr/>
  </property>
  <property fmtid="{D5CDD505-2E9C-101B-9397-08002B2CF9AE}" pid="22" name="m365da387ea240238c0d83c321188a1c">
    <vt:lpwstr/>
  </property>
  <property fmtid="{D5CDD505-2E9C-101B-9397-08002B2CF9AE}" pid="23" name="o3cb2451d6904553a72e202c291dd6d8">
    <vt:lpwstr/>
  </property>
</Properties>
</file>